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45" w:rsidRDefault="00DD1C45" w:rsidP="00B7782D">
      <w:pPr>
        <w:pStyle w:val="BodyText"/>
        <w:rPr>
          <w:sz w:val="20"/>
        </w:rPr>
      </w:pPr>
      <w:bookmarkStart w:id="0" w:name="_GoBack"/>
      <w:bookmarkEnd w:id="0"/>
    </w:p>
    <w:p w:rsidR="007A3385" w:rsidRPr="00052C2C" w:rsidRDefault="00B7782D" w:rsidP="00B7782D">
      <w:pPr>
        <w:rPr>
          <w:b/>
          <w:bCs/>
          <w:lang w:val="sr-Latn-RS"/>
        </w:rPr>
      </w:pPr>
      <w:r w:rsidRPr="00052C2C">
        <w:rPr>
          <w:b/>
          <w:bCs/>
          <w:lang w:val="sr-Latn-RS"/>
        </w:rPr>
        <w:t>Broj:</w:t>
      </w:r>
      <w:r w:rsidR="007A3385" w:rsidRPr="00052C2C">
        <w:rPr>
          <w:b/>
          <w:bCs/>
          <w:lang w:val="sr-Cyrl-RS"/>
        </w:rPr>
        <w:t xml:space="preserve"> </w:t>
      </w:r>
      <w:r w:rsidR="00AD73EF" w:rsidRPr="00052C2C">
        <w:rPr>
          <w:b/>
          <w:bCs/>
          <w:lang w:val="sr-Latn-RS"/>
        </w:rPr>
        <w:t xml:space="preserve">   </w:t>
      </w:r>
      <w:r w:rsidR="00711669" w:rsidRPr="00052C2C">
        <w:rPr>
          <w:b/>
          <w:bCs/>
          <w:lang w:val="sr-Latn-RS"/>
        </w:rPr>
        <w:t>317</w:t>
      </w:r>
      <w:r w:rsidRPr="00052C2C">
        <w:rPr>
          <w:b/>
          <w:bCs/>
          <w:lang w:val="sr-Latn-RS"/>
        </w:rPr>
        <w:t>/</w:t>
      </w:r>
      <w:r w:rsidR="007A3385" w:rsidRPr="00052C2C">
        <w:rPr>
          <w:b/>
          <w:bCs/>
          <w:lang w:val="sr-Latn-RS"/>
        </w:rPr>
        <w:t>2024</w:t>
      </w:r>
      <w:r w:rsidR="00FA35C0" w:rsidRPr="00052C2C">
        <w:rPr>
          <w:b/>
          <w:bCs/>
          <w:lang w:val="sr-Latn-RS"/>
        </w:rPr>
        <w:t>-3</w:t>
      </w:r>
    </w:p>
    <w:p w:rsidR="00DD1C45" w:rsidRPr="00052C2C" w:rsidRDefault="00B7782D" w:rsidP="00B7782D">
      <w:pPr>
        <w:rPr>
          <w:b/>
          <w:bCs/>
          <w:lang w:val="sr-Latn-RS"/>
        </w:rPr>
      </w:pPr>
      <w:r w:rsidRPr="00052C2C">
        <w:rPr>
          <w:b/>
          <w:bCs/>
          <w:lang w:val="sr-Latn-RS"/>
        </w:rPr>
        <w:t>Datum</w:t>
      </w:r>
      <w:r w:rsidR="007A3385" w:rsidRPr="00052C2C">
        <w:rPr>
          <w:b/>
          <w:bCs/>
          <w:lang w:val="sr-Cyrl-RS"/>
        </w:rPr>
        <w:t xml:space="preserve">: </w:t>
      </w:r>
      <w:r w:rsidR="00130765" w:rsidRPr="00052C2C">
        <w:rPr>
          <w:b/>
          <w:bCs/>
          <w:lang w:val="sr-Latn-RS"/>
        </w:rPr>
        <w:t>22</w:t>
      </w:r>
      <w:r w:rsidR="007A3385" w:rsidRPr="00052C2C">
        <w:rPr>
          <w:b/>
          <w:bCs/>
          <w:lang w:val="sr-Cyrl-RS"/>
        </w:rPr>
        <w:t>.</w:t>
      </w:r>
      <w:r w:rsidR="007A3385" w:rsidRPr="00052C2C">
        <w:rPr>
          <w:b/>
          <w:bCs/>
          <w:lang w:val="sr-Latn-RS"/>
        </w:rPr>
        <w:t>10</w:t>
      </w:r>
      <w:r w:rsidR="007A3385" w:rsidRPr="00052C2C">
        <w:rPr>
          <w:b/>
          <w:bCs/>
          <w:lang w:val="sr-Cyrl-RS"/>
        </w:rPr>
        <w:t>.2024.</w:t>
      </w:r>
    </w:p>
    <w:p w:rsidR="00DD1C45" w:rsidRDefault="00DD1C45" w:rsidP="00B7782D">
      <w:pPr>
        <w:pStyle w:val="BodyText"/>
        <w:rPr>
          <w:sz w:val="20"/>
        </w:rPr>
      </w:pPr>
    </w:p>
    <w:tbl>
      <w:tblPr>
        <w:tblpPr w:leftFromText="180" w:rightFromText="180" w:vertAnchor="text" w:tblpX="36" w:tblpY="1"/>
        <w:tblOverlap w:val="never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8980"/>
      </w:tblGrid>
      <w:tr w:rsidR="00130765" w:rsidRPr="00A16D93" w:rsidTr="00B7782D">
        <w:tc>
          <w:tcPr>
            <w:tcW w:w="8980" w:type="dxa"/>
            <w:shd w:val="clear" w:color="auto" w:fill="D3DFEE"/>
          </w:tcPr>
          <w:p w:rsidR="00130765" w:rsidRPr="00A16D93" w:rsidRDefault="00130765" w:rsidP="00B7782D">
            <w:pPr>
              <w:jc w:val="both"/>
              <w:rPr>
                <w:b/>
                <w:sz w:val="24"/>
                <w:szCs w:val="24"/>
                <w:lang w:val="sr-Latn-RS"/>
              </w:rPr>
            </w:pPr>
            <w:r w:rsidRPr="00A16D93">
              <w:rPr>
                <w:b/>
                <w:sz w:val="24"/>
                <w:szCs w:val="24"/>
                <w:lang w:val="sr-Latn-RS"/>
              </w:rPr>
              <w:t xml:space="preserve">DEO A: INFORMACIJE ZA PODNOSIOCA PONUDE </w:t>
            </w:r>
          </w:p>
        </w:tc>
      </w:tr>
      <w:tr w:rsidR="00130765" w:rsidRPr="00A16D93" w:rsidTr="00B7782D">
        <w:tc>
          <w:tcPr>
            <w:tcW w:w="8980" w:type="dxa"/>
            <w:shd w:val="clear" w:color="auto" w:fill="D3DFEE"/>
          </w:tcPr>
          <w:p w:rsidR="00343D98" w:rsidRPr="00D42A20" w:rsidRDefault="00130765" w:rsidP="00343D98">
            <w:pPr>
              <w:jc w:val="both"/>
              <w:rPr>
                <w:b/>
                <w:sz w:val="24"/>
                <w:szCs w:val="24"/>
                <w:lang w:val="sr-Latn-RS"/>
              </w:rPr>
            </w:pPr>
            <w:r w:rsidRPr="00130765">
              <w:rPr>
                <w:b/>
                <w:sz w:val="24"/>
                <w:szCs w:val="24"/>
                <w:lang w:val="sr-Latn-RS"/>
              </w:rPr>
              <w:t xml:space="preserve">Ime i adresa naručioca: </w:t>
            </w:r>
            <w:r w:rsidR="00343D98" w:rsidRPr="00D42A20">
              <w:rPr>
                <w:b/>
                <w:sz w:val="24"/>
                <w:szCs w:val="24"/>
                <w:lang w:val="sr-Latn-RS"/>
              </w:rPr>
              <w:t xml:space="preserve"> Ustanova za izradu tapiserija "Atelje 61"</w:t>
            </w:r>
            <w:r w:rsidR="00343D98">
              <w:rPr>
                <w:b/>
                <w:sz w:val="24"/>
                <w:szCs w:val="24"/>
                <w:lang w:val="sr-Latn-RS"/>
              </w:rPr>
              <w:t>, Petrovaradinska tvrđava</w:t>
            </w:r>
            <w:r w:rsidR="00343D98" w:rsidRPr="00D42A20">
              <w:rPr>
                <w:b/>
                <w:sz w:val="24"/>
                <w:szCs w:val="24"/>
                <w:lang w:val="sr-Latn-RS"/>
              </w:rPr>
              <w:t xml:space="preserve"> 9</w:t>
            </w:r>
            <w:r w:rsidR="00343D98">
              <w:rPr>
                <w:b/>
                <w:sz w:val="24"/>
                <w:szCs w:val="24"/>
                <w:lang w:val="sr-Latn-RS"/>
              </w:rPr>
              <w:t xml:space="preserve">, </w:t>
            </w:r>
            <w:r w:rsidR="00343D98" w:rsidRPr="00D42A20">
              <w:rPr>
                <w:b/>
                <w:sz w:val="24"/>
                <w:szCs w:val="24"/>
                <w:lang w:val="sr-Latn-RS"/>
              </w:rPr>
              <w:t>21131 Petrovaradin</w:t>
            </w:r>
          </w:p>
          <w:p w:rsidR="00130765" w:rsidRDefault="00130765" w:rsidP="00343D98">
            <w:pPr>
              <w:jc w:val="both"/>
              <w:rPr>
                <w:b/>
                <w:sz w:val="24"/>
                <w:szCs w:val="24"/>
                <w:lang w:val="sr-Latn-RS"/>
              </w:rPr>
            </w:pPr>
            <w:r w:rsidRPr="00130765">
              <w:rPr>
                <w:b/>
                <w:sz w:val="24"/>
                <w:szCs w:val="24"/>
                <w:lang w:val="sr-Latn-RS"/>
              </w:rPr>
              <w:t xml:space="preserve">Naziv tendera: Nabavka usluge sprovođenja procedure javnih nabavki za potrebe projekta </w:t>
            </w:r>
            <w:r w:rsidRPr="00541562">
              <w:rPr>
                <w:b/>
                <w:sz w:val="24"/>
                <w:szCs w:val="24"/>
                <w:lang w:val="sr-Latn-RS"/>
              </w:rPr>
              <w:t>Umetničko carstvo bez granica kroz prilike i znanje (Borderless Artistic Realm Through Opportunities and Knowledge</w:t>
            </w:r>
            <w:r w:rsidRPr="00130765">
              <w:rPr>
                <w:b/>
                <w:sz w:val="24"/>
                <w:szCs w:val="24"/>
                <w:lang w:val="sr-Latn-RS"/>
              </w:rPr>
              <w:t xml:space="preserve"> –BARTOK)</w:t>
            </w:r>
          </w:p>
          <w:p w:rsidR="00130765" w:rsidRPr="00130765" w:rsidRDefault="00130765" w:rsidP="00B7782D">
            <w:pPr>
              <w:jc w:val="both"/>
              <w:rPr>
                <w:b/>
                <w:sz w:val="24"/>
                <w:szCs w:val="24"/>
                <w:lang w:val="sr-Latn-RS"/>
              </w:rPr>
            </w:pPr>
          </w:p>
          <w:p w:rsidR="00130765" w:rsidRPr="00541562" w:rsidRDefault="00130765" w:rsidP="00B7782D">
            <w:pPr>
              <w:jc w:val="both"/>
              <w:rPr>
                <w:b/>
                <w:sz w:val="24"/>
                <w:szCs w:val="24"/>
                <w:lang w:val="sr-Latn-RS"/>
              </w:rPr>
            </w:pPr>
            <w:r w:rsidRPr="00130765">
              <w:rPr>
                <w:b/>
                <w:sz w:val="24"/>
                <w:szCs w:val="24"/>
                <w:lang w:val="sr-Latn-RS"/>
              </w:rPr>
              <w:t xml:space="preserve">Referentni broj:  </w:t>
            </w:r>
            <w:r w:rsidRPr="00541562">
              <w:rPr>
                <w:b/>
                <w:sz w:val="24"/>
                <w:szCs w:val="24"/>
                <w:lang w:val="sr-Latn-RS"/>
              </w:rPr>
              <w:t>HUSRB/23R/22/060/4</w:t>
            </w:r>
            <w:r w:rsidRPr="00130765">
              <w:rPr>
                <w:b/>
                <w:sz w:val="24"/>
                <w:szCs w:val="24"/>
                <w:lang w:val="sr-Latn-RS"/>
              </w:rPr>
              <w:t>.4.1</w:t>
            </w:r>
          </w:p>
          <w:p w:rsidR="00130765" w:rsidRPr="00541562" w:rsidRDefault="00130765" w:rsidP="00B7782D">
            <w:pPr>
              <w:jc w:val="both"/>
              <w:rPr>
                <w:b/>
                <w:sz w:val="24"/>
                <w:szCs w:val="24"/>
                <w:lang w:val="sr-Latn-RS"/>
              </w:rPr>
            </w:pPr>
          </w:p>
          <w:p w:rsidR="00130765" w:rsidRPr="00A16D93" w:rsidRDefault="00130765" w:rsidP="00B7782D">
            <w:pPr>
              <w:jc w:val="both"/>
              <w:rPr>
                <w:b/>
                <w:lang w:val="sr-Latn-RS"/>
              </w:rPr>
            </w:pPr>
            <w:r w:rsidRPr="00541562">
              <w:rPr>
                <w:b/>
                <w:sz w:val="24"/>
                <w:szCs w:val="24"/>
                <w:lang w:val="sr-Latn-RS"/>
              </w:rPr>
              <w:t>Datum objavljivanja: 22/10/2024</w:t>
            </w:r>
          </w:p>
        </w:tc>
      </w:tr>
    </w:tbl>
    <w:p w:rsidR="00130765" w:rsidRPr="00A16D93" w:rsidRDefault="00B7782D" w:rsidP="00B7782D">
      <w:pPr>
        <w:jc w:val="both"/>
        <w:rPr>
          <w:lang w:val="sr-Latn-RS"/>
        </w:rPr>
      </w:pPr>
      <w:r>
        <w:rPr>
          <w:lang w:val="sr-Latn-RS"/>
        </w:rPr>
        <w:br w:type="textWrapping" w:clear="all"/>
      </w:r>
    </w:p>
    <w:p w:rsidR="00130765" w:rsidRPr="00A16D93" w:rsidRDefault="00130765" w:rsidP="00B7782D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0"/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INFORMACIJE O PODNOŠENJU PONUDA ZA TENDER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Predmet Ugovora</w:t>
      </w:r>
      <w:r w:rsidRPr="00A16D93">
        <w:rPr>
          <w:sz w:val="24"/>
          <w:szCs w:val="24"/>
          <w:lang w:val="sr-Latn-RS"/>
        </w:rPr>
        <w:t xml:space="preserve">: </w:t>
      </w:r>
    </w:p>
    <w:p w:rsidR="00130765" w:rsidRPr="00130765" w:rsidRDefault="00130765" w:rsidP="00B7782D">
      <w:pPr>
        <w:tabs>
          <w:tab w:val="left" w:pos="1275"/>
        </w:tabs>
        <w:jc w:val="both"/>
        <w:rPr>
          <w:i/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b/>
          <w:sz w:val="24"/>
          <w:szCs w:val="24"/>
          <w:lang w:val="sr-Latn-RS"/>
        </w:rPr>
      </w:pPr>
      <w:r w:rsidRPr="00130765">
        <w:rPr>
          <w:b/>
          <w:sz w:val="24"/>
          <w:szCs w:val="24"/>
          <w:lang w:val="sr-Latn-RS"/>
        </w:rPr>
        <w:t xml:space="preserve">Nabavka usluge sprovođenja procedure javnih nabavki za potrebe projekta </w:t>
      </w:r>
      <w:r w:rsidRPr="00130765">
        <w:rPr>
          <w:b/>
          <w:sz w:val="24"/>
          <w:szCs w:val="24"/>
          <w:lang w:val="sr-Cyrl-RS"/>
        </w:rPr>
        <w:t>Umetničko carstvo bez granica kroz prilike i znanje (</w:t>
      </w:r>
      <w:r w:rsidRPr="00130765">
        <w:rPr>
          <w:bCs/>
          <w:noProof/>
          <w:color w:val="000000"/>
          <w:sz w:val="24"/>
          <w:szCs w:val="24"/>
        </w:rPr>
        <w:t>Borderless Artistic Realm Through Opportunities and Knowledge</w:t>
      </w:r>
      <w:r w:rsidRPr="00130765">
        <w:rPr>
          <w:b/>
          <w:sz w:val="24"/>
          <w:szCs w:val="24"/>
          <w:lang w:val="sr-Latn-RS"/>
        </w:rPr>
        <w:t xml:space="preserve"> –BARTOK)</w:t>
      </w:r>
    </w:p>
    <w:p w:rsidR="00130765" w:rsidRPr="00BA7487" w:rsidRDefault="00130765" w:rsidP="00B7782D">
      <w:pPr>
        <w:jc w:val="both"/>
        <w:rPr>
          <w:i/>
          <w:sz w:val="28"/>
          <w:szCs w:val="24"/>
          <w:lang w:val="sr-Latn-RS"/>
        </w:rPr>
      </w:pPr>
    </w:p>
    <w:p w:rsidR="00130765" w:rsidRPr="00BA7487" w:rsidRDefault="00130765" w:rsidP="00B7782D">
      <w:pPr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u w:val="single"/>
          <w:lang w:val="sr-Latn-RS"/>
        </w:rPr>
        <w:t>Krajnji rok za podnošenje ponuda za tender</w:t>
      </w:r>
      <w:r w:rsidRPr="00BA7487">
        <w:rPr>
          <w:sz w:val="24"/>
          <w:szCs w:val="24"/>
          <w:lang w:val="sr-Latn-RS"/>
        </w:rPr>
        <w:t>:</w:t>
      </w:r>
    </w:p>
    <w:p w:rsidR="00130765" w:rsidRPr="00BA7487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53747D" w:rsidRDefault="00130765" w:rsidP="00B7782D">
      <w:pPr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 xml:space="preserve">Krajnji rok za podnošenje ponuda za tender je </w:t>
      </w:r>
      <w:r w:rsidRPr="0053747D">
        <w:rPr>
          <w:b/>
          <w:sz w:val="24"/>
          <w:szCs w:val="24"/>
          <w:lang w:val="sr-Latn-RS"/>
        </w:rPr>
        <w:t>30/10/2024 u 12:00 časova</w:t>
      </w:r>
      <w:r w:rsidRPr="0053747D">
        <w:rPr>
          <w:sz w:val="24"/>
          <w:szCs w:val="24"/>
          <w:lang w:val="sr-Latn-RS"/>
        </w:rPr>
        <w:t xml:space="preserve">. Sve ponude dobijene nakon ovog roka će automatski biti odbijene.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* - Ponuđač bi trebalo da ima minimum 7 dana od datuma objavljivanja javne nabavke za pripremu ponude (isključujući dan objave i datum krajnjeg roka za podnošenje ponude).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** - Naručilac je u obavezi da pruži odgovor na sva dobijena pitanja najkasnije u roku od 3 dana pre isteka roka kao i da ih objavi na istim web site-ovima na kojima je i sam tender objavljen.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Finansijske informacije</w:t>
      </w:r>
    </w:p>
    <w:p w:rsidR="00130765" w:rsidRPr="00BA7487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BA7487" w:rsidRDefault="00130765" w:rsidP="00B7782D">
      <w:pPr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 xml:space="preserve">Podnosioci ponuda za tender se podsećaju da je maksimalna raspoloživa vrednost Ugovora </w:t>
      </w:r>
      <w:r w:rsidR="00D42A20">
        <w:rPr>
          <w:sz w:val="24"/>
          <w:szCs w:val="24"/>
          <w:lang w:val="sr-Latn-RS"/>
        </w:rPr>
        <w:t>7</w:t>
      </w:r>
      <w:r w:rsidR="00345B43">
        <w:rPr>
          <w:sz w:val="24"/>
          <w:szCs w:val="24"/>
          <w:lang w:val="sr-Latn-RS"/>
        </w:rPr>
        <w:t>.</w:t>
      </w:r>
      <w:r w:rsidR="00D42A20">
        <w:rPr>
          <w:sz w:val="24"/>
          <w:szCs w:val="24"/>
          <w:lang w:val="sr-Latn-RS"/>
        </w:rPr>
        <w:t>000</w:t>
      </w:r>
      <w:r w:rsidRPr="00BA7487">
        <w:rPr>
          <w:sz w:val="24"/>
          <w:szCs w:val="24"/>
          <w:lang w:val="sr-Latn-RS"/>
        </w:rPr>
        <w:t xml:space="preserve"> EUR uključujući i PDV.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Finansijska ponuda mora biti prikazana u iznosu u EUR uključujući PDV i mora biti podneta na obrascu: DEO C: FORMAT FINANSIJSKE PONUDE. </w:t>
      </w:r>
    </w:p>
    <w:p w:rsidR="00130765" w:rsidRPr="00345B4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345B43">
        <w:rPr>
          <w:b/>
          <w:sz w:val="24"/>
          <w:szCs w:val="24"/>
          <w:lang w:val="sr-Latn-RS"/>
        </w:rPr>
        <w:t>Za ovaj ugovor PDV je prihvatljiv trošak.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Odredbe vezane za primenu odgovarajućih poreza i carina su navedene u nacrtu Ugovora, u Delu A ovog tenderskog dosijea. </w:t>
      </w:r>
    </w:p>
    <w:p w:rsidR="00130765" w:rsidRPr="00B7782D" w:rsidRDefault="00130765" w:rsidP="00B7782D">
      <w:pPr>
        <w:tabs>
          <w:tab w:val="left" w:pos="1761"/>
        </w:tabs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ab/>
      </w:r>
    </w:p>
    <w:p w:rsidR="00130765" w:rsidRPr="00A16D93" w:rsidRDefault="00130765" w:rsidP="00B7782D">
      <w:pPr>
        <w:keepNext/>
        <w:spacing w:before="120" w:after="120"/>
        <w:jc w:val="both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lastRenderedPageBreak/>
        <w:t>Alternativna rešenja</w:t>
      </w:r>
    </w:p>
    <w:p w:rsidR="00130765" w:rsidRPr="00A16D93" w:rsidRDefault="00130765" w:rsidP="00B7782D">
      <w:pPr>
        <w:spacing w:before="120" w:after="120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Ponuđačima nije dozvoljeno da koriste alternativna rešenja.</w:t>
      </w:r>
    </w:p>
    <w:p w:rsidR="00130765" w:rsidRPr="00A16D93" w:rsidRDefault="00130765" w:rsidP="00B7782D">
      <w:pPr>
        <w:spacing w:before="120" w:after="120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Podugovaranje</w:t>
      </w:r>
    </w:p>
    <w:p w:rsidR="00130765" w:rsidRPr="00A16D93" w:rsidRDefault="00130765" w:rsidP="00B7782D">
      <w:pPr>
        <w:spacing w:before="120" w:after="120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Podugovaranje nije dozvoljeno.</w:t>
      </w:r>
    </w:p>
    <w:p w:rsidR="00130765" w:rsidRPr="00A16D93" w:rsidRDefault="00130765" w:rsidP="00B7782D">
      <w:pPr>
        <w:jc w:val="both"/>
        <w:rPr>
          <w:sz w:val="24"/>
          <w:szCs w:val="24"/>
          <w:u w:val="single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Kriterijumi za dodelu Ugovora</w:t>
      </w:r>
      <w:r w:rsidRPr="00A16D93">
        <w:rPr>
          <w:sz w:val="24"/>
          <w:szCs w:val="24"/>
          <w:lang w:val="sr-Latn-RS"/>
        </w:rPr>
        <w:t>: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BA7487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b/>
          <w:i/>
          <w:sz w:val="24"/>
          <w:szCs w:val="24"/>
          <w:lang w:val="sr-Latn-RS"/>
        </w:rPr>
        <w:t>U slučaju dobijanja više od jedne ponude</w:t>
      </w:r>
      <w:r w:rsidRPr="00A16D93">
        <w:rPr>
          <w:sz w:val="24"/>
          <w:szCs w:val="24"/>
          <w:lang w:val="sr-Latn-RS"/>
        </w:rPr>
        <w:t xml:space="preserve">: najbolji odnos cene i kvaliteta, ponderisanjem 80% </w:t>
      </w:r>
      <w:r w:rsidRPr="00BA7487">
        <w:rPr>
          <w:sz w:val="24"/>
          <w:szCs w:val="24"/>
          <w:lang w:val="sr-Latn-RS"/>
        </w:rPr>
        <w:t xml:space="preserve">kvalitet, cena 20%.  </w:t>
      </w:r>
    </w:p>
    <w:p w:rsidR="00130765" w:rsidRPr="00BA7487" w:rsidRDefault="00130765" w:rsidP="00B7782D">
      <w:pPr>
        <w:tabs>
          <w:tab w:val="left" w:pos="4170"/>
        </w:tabs>
        <w:jc w:val="both"/>
        <w:rPr>
          <w:sz w:val="24"/>
          <w:szCs w:val="24"/>
          <w:u w:val="single"/>
          <w:lang w:val="sr-Latn-RS"/>
        </w:rPr>
      </w:pPr>
    </w:p>
    <w:p w:rsidR="00130765" w:rsidRPr="00BA7487" w:rsidRDefault="00345B43" w:rsidP="00B7782D">
      <w:pPr>
        <w:tabs>
          <w:tab w:val="left" w:pos="3600"/>
        </w:tabs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Kriterijumi za eva</w:t>
      </w:r>
      <w:r w:rsidR="00130765" w:rsidRPr="00BA7487">
        <w:rPr>
          <w:sz w:val="24"/>
          <w:szCs w:val="24"/>
          <w:lang w:val="sr-Latn-RS"/>
        </w:rPr>
        <w:t>luaciju tehničke ponude:</w:t>
      </w:r>
    </w:p>
    <w:p w:rsidR="00130765" w:rsidRPr="00BA7487" w:rsidRDefault="00130765" w:rsidP="00B7782D">
      <w:pPr>
        <w:widowControl/>
        <w:numPr>
          <w:ilvl w:val="0"/>
          <w:numId w:val="2"/>
        </w:numPr>
        <w:tabs>
          <w:tab w:val="left" w:pos="450"/>
        </w:tabs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>Organizacija i metodologija: 80 poena</w:t>
      </w:r>
    </w:p>
    <w:p w:rsidR="00130765" w:rsidRPr="00BA7487" w:rsidRDefault="00130765" w:rsidP="00B7782D">
      <w:pPr>
        <w:widowControl/>
        <w:numPr>
          <w:ilvl w:val="0"/>
          <w:numId w:val="2"/>
        </w:numPr>
        <w:tabs>
          <w:tab w:val="left" w:pos="450"/>
        </w:tabs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>Predloženi inputi: 10 poena</w:t>
      </w:r>
    </w:p>
    <w:p w:rsidR="00130765" w:rsidRPr="00BA7487" w:rsidRDefault="00130765" w:rsidP="00B7782D">
      <w:pPr>
        <w:widowControl/>
        <w:numPr>
          <w:ilvl w:val="0"/>
          <w:numId w:val="2"/>
        </w:numPr>
        <w:tabs>
          <w:tab w:val="left" w:pos="450"/>
        </w:tabs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>Period izvršenja usluge: 10 poena</w:t>
      </w:r>
    </w:p>
    <w:p w:rsidR="00130765" w:rsidRPr="00BA7487" w:rsidRDefault="00130765" w:rsidP="00B7782D">
      <w:pPr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 xml:space="preserve"> </w:t>
      </w:r>
      <w:r w:rsidR="00D42A20">
        <w:rPr>
          <w:sz w:val="24"/>
          <w:szCs w:val="24"/>
          <w:lang w:val="sr-Latn-RS"/>
        </w:rPr>
        <w:t xml:space="preserve">    </w:t>
      </w:r>
      <w:r w:rsidR="00C967CD">
        <w:rPr>
          <w:sz w:val="24"/>
          <w:szCs w:val="24"/>
          <w:lang w:val="sr-Cyrl-RS"/>
        </w:rPr>
        <w:t xml:space="preserve"> </w:t>
      </w:r>
      <w:r w:rsidRPr="00BA7487">
        <w:rPr>
          <w:sz w:val="24"/>
          <w:szCs w:val="24"/>
          <w:lang w:val="sr-Latn-RS"/>
        </w:rPr>
        <w:t xml:space="preserve">UKUPNO: 100 poena </w:t>
      </w:r>
    </w:p>
    <w:p w:rsidR="00130765" w:rsidRPr="00BA7487" w:rsidRDefault="00130765" w:rsidP="00B7782D">
      <w:pPr>
        <w:tabs>
          <w:tab w:val="left" w:pos="3660"/>
        </w:tabs>
        <w:jc w:val="both"/>
        <w:rPr>
          <w:sz w:val="24"/>
          <w:szCs w:val="24"/>
          <w:lang w:val="sr-Latn-RS"/>
        </w:rPr>
      </w:pPr>
      <w:r w:rsidRPr="00BA7487">
        <w:rPr>
          <w:sz w:val="24"/>
          <w:szCs w:val="24"/>
          <w:lang w:val="sr-Latn-RS"/>
        </w:rPr>
        <w:tab/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b/>
          <w:i/>
          <w:sz w:val="24"/>
          <w:szCs w:val="24"/>
          <w:lang w:val="sr-Latn-RS"/>
        </w:rPr>
        <w:t>U slučaju dobijanja jedne ponude</w:t>
      </w:r>
      <w:r w:rsidRPr="00A16D93">
        <w:rPr>
          <w:sz w:val="24"/>
          <w:szCs w:val="24"/>
          <w:lang w:val="sr-Latn-RS"/>
        </w:rPr>
        <w:t xml:space="preserve">: Naručilac će proveriti da li ponuda administrativno, tehnički i finansijski ispunjava zahteve postavljene ovom tenderskom procedurom. </w:t>
      </w:r>
    </w:p>
    <w:p w:rsidR="00130765" w:rsidRPr="00A16D93" w:rsidRDefault="00130765" w:rsidP="00B7782D">
      <w:pPr>
        <w:spacing w:before="120" w:after="120"/>
        <w:jc w:val="both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Razgovori: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Razgovori nisu predviđeni.</w:t>
      </w: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3F129E" w:rsidRPr="00A16D93" w:rsidRDefault="003F129E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Obaveštenje o dodeli Ugovora: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Uspešni ponuđač će biti obavešten o rezultatima evaluacione procedure pisanim putem. </w:t>
      </w: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3F129E" w:rsidRPr="00A16D93" w:rsidRDefault="003F129E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Adresa i način  podnošenja ponude</w:t>
      </w:r>
      <w:r w:rsidRPr="00A16D93">
        <w:rPr>
          <w:sz w:val="24"/>
          <w:szCs w:val="24"/>
          <w:lang w:val="sr-Latn-RS"/>
        </w:rPr>
        <w:t>: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Ponuđači će podneti svoje ponude koristeći </w:t>
      </w:r>
      <w:r w:rsidRPr="00A16D93">
        <w:rPr>
          <w:b/>
          <w:sz w:val="24"/>
          <w:szCs w:val="24"/>
          <w:lang w:val="sr-Latn-RS"/>
        </w:rPr>
        <w:t>standardizovani set formulara za podnošenje dostupan u Delu B – Tehnička ponuda i u Delu C - Finansijska ponuda.</w:t>
      </w:r>
      <w:r w:rsidRPr="00A16D93">
        <w:rPr>
          <w:sz w:val="24"/>
          <w:szCs w:val="24"/>
          <w:lang w:val="sr-Latn-RS"/>
        </w:rPr>
        <w:t xml:space="preserve"> Svaki drugi propratni dokument uz ovaj poziv je poslat samo u informativne svrhe i ne zahteva menjanje kao ni podnošenje od strane ponuđača. Ponuda se podnosi u </w:t>
      </w:r>
      <w:r w:rsidRPr="00A16D93">
        <w:rPr>
          <w:b/>
          <w:sz w:val="24"/>
          <w:szCs w:val="24"/>
          <w:lang w:val="sr-Latn-RS"/>
        </w:rPr>
        <w:t>1 originalu</w:t>
      </w:r>
      <w:r w:rsidRPr="00A16D93">
        <w:rPr>
          <w:sz w:val="24"/>
          <w:szCs w:val="24"/>
          <w:lang w:val="sr-Latn-RS"/>
        </w:rPr>
        <w:t xml:space="preserve">. Ponude koje nisu u skladu sa propisanom formom mogu biti odbijene od strane naručioca.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U prilogu ponude, ponuđač je obavezan da priloži sledeću propratnu dokumentaciju: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53747D" w:rsidRDefault="00130765" w:rsidP="00B7782D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</w:t>
      </w:r>
      <w:r w:rsidRPr="00A16D93">
        <w:rPr>
          <w:sz w:val="24"/>
          <w:szCs w:val="24"/>
          <w:lang w:val="sr-Latn-RS"/>
        </w:rPr>
        <w:t>Kopiju izvoda iz APR-a</w:t>
      </w:r>
      <w:r w:rsidRPr="00A16D93" w:rsidDel="00DE6750">
        <w:rPr>
          <w:sz w:val="24"/>
          <w:szCs w:val="24"/>
          <w:vertAlign w:val="superscript"/>
          <w:lang w:val="sr-Latn-RS"/>
        </w:rPr>
        <w:t xml:space="preserve"> </w:t>
      </w:r>
      <w:r w:rsidRPr="00A16D93">
        <w:rPr>
          <w:sz w:val="24"/>
          <w:szCs w:val="24"/>
          <w:lang w:val="sr-Latn-RS"/>
        </w:rPr>
        <w:t xml:space="preserve">(ukoliko nije javno dostupan) ili link ka registru privrednih </w:t>
      </w:r>
      <w:r>
        <w:rPr>
          <w:sz w:val="24"/>
          <w:szCs w:val="24"/>
          <w:lang w:val="sr-Latn-RS"/>
        </w:rPr>
        <w:t xml:space="preserve"> </w:t>
      </w:r>
      <w:r w:rsidRPr="0053747D">
        <w:rPr>
          <w:sz w:val="24"/>
          <w:szCs w:val="24"/>
          <w:lang w:val="sr-Latn-RS"/>
        </w:rPr>
        <w:t>subjekata koji vodi Agencija za privredne registre,</w:t>
      </w:r>
    </w:p>
    <w:p w:rsidR="003F129E" w:rsidRPr="003F129E" w:rsidRDefault="00130765" w:rsidP="003F129E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0"/>
        <w:jc w:val="both"/>
        <w:rPr>
          <w:strike/>
          <w:sz w:val="24"/>
          <w:szCs w:val="24"/>
          <w:lang w:val="sr-Latn-RS"/>
        </w:rPr>
      </w:pPr>
      <w:r w:rsidRPr="0053747D">
        <w:rPr>
          <w:sz w:val="24"/>
          <w:szCs w:val="24"/>
          <w:lang w:val="sr-Latn-RS"/>
        </w:rPr>
        <w:t xml:space="preserve">CV eksperta koji je angažovan na pružanju usluga za sprovođenje procedura javnih nabavki </w:t>
      </w:r>
      <w:r w:rsidR="00345B43">
        <w:rPr>
          <w:sz w:val="24"/>
          <w:szCs w:val="24"/>
          <w:lang w:val="sr-Latn-RS"/>
        </w:rPr>
        <w:t>za potrebe realizacije projekta.</w:t>
      </w:r>
    </w:p>
    <w:p w:rsidR="00130765" w:rsidRDefault="00130765" w:rsidP="00B7782D">
      <w:pPr>
        <w:jc w:val="both"/>
        <w:rPr>
          <w:strike/>
          <w:sz w:val="24"/>
          <w:szCs w:val="24"/>
          <w:lang w:val="sr-Cyrl-RS"/>
        </w:rPr>
      </w:pPr>
    </w:p>
    <w:p w:rsidR="00130765" w:rsidRDefault="00130765" w:rsidP="00B7782D">
      <w:pPr>
        <w:pStyle w:val="ListParagraph"/>
        <w:jc w:val="both"/>
        <w:rPr>
          <w:strike/>
          <w:sz w:val="24"/>
          <w:szCs w:val="24"/>
          <w:highlight w:val="yellow"/>
          <w:lang w:val="sr-Latn-RS"/>
        </w:rPr>
      </w:pPr>
    </w:p>
    <w:p w:rsidR="00345B43" w:rsidRDefault="00345B43" w:rsidP="00B7782D">
      <w:pPr>
        <w:pStyle w:val="ListParagraph"/>
        <w:jc w:val="both"/>
        <w:rPr>
          <w:strike/>
          <w:sz w:val="24"/>
          <w:szCs w:val="24"/>
          <w:highlight w:val="yellow"/>
          <w:lang w:val="sr-Latn-RS"/>
        </w:rPr>
      </w:pPr>
    </w:p>
    <w:p w:rsidR="00345B43" w:rsidRDefault="00345B43" w:rsidP="00B7782D">
      <w:pPr>
        <w:pStyle w:val="ListParagraph"/>
        <w:jc w:val="both"/>
        <w:rPr>
          <w:strike/>
          <w:sz w:val="24"/>
          <w:szCs w:val="24"/>
          <w:highlight w:val="yellow"/>
          <w:lang w:val="sr-Latn-RS"/>
        </w:rPr>
      </w:pPr>
    </w:p>
    <w:p w:rsidR="00345B43" w:rsidRPr="00A16D93" w:rsidRDefault="00345B43" w:rsidP="00B7782D">
      <w:pPr>
        <w:pStyle w:val="ListParagraph"/>
        <w:jc w:val="both"/>
        <w:rPr>
          <w:strike/>
          <w:sz w:val="24"/>
          <w:szCs w:val="24"/>
          <w:highlight w:val="yellow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lastRenderedPageBreak/>
        <w:t>Ponude se podnose u zapečaćenim kovertama, koje treba da sadrže sledeće informacije:</w:t>
      </w: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130765" w:rsidRPr="00900FAF" w:rsidRDefault="00130765" w:rsidP="00B7782D">
      <w:pPr>
        <w:jc w:val="both"/>
        <w:rPr>
          <w:sz w:val="24"/>
          <w:szCs w:val="24"/>
          <w:lang w:val="sr-Latn-RS"/>
        </w:rPr>
      </w:pPr>
      <w:r w:rsidRPr="00900FAF">
        <w:rPr>
          <w:sz w:val="24"/>
          <w:szCs w:val="24"/>
          <w:lang w:val="sr-Latn-RS"/>
        </w:rPr>
        <w:t>Ime i adresa ponuđača:</w:t>
      </w:r>
    </w:p>
    <w:p w:rsidR="00C967CD" w:rsidRDefault="00C967CD" w:rsidP="00B7782D">
      <w:pPr>
        <w:jc w:val="both"/>
        <w:rPr>
          <w:b/>
          <w:sz w:val="24"/>
          <w:szCs w:val="24"/>
          <w:lang w:val="sr-Cyrl-RS"/>
        </w:rPr>
      </w:pPr>
    </w:p>
    <w:p w:rsidR="00D42A20" w:rsidRPr="00D42A20" w:rsidRDefault="00D42A20" w:rsidP="00B7782D">
      <w:pPr>
        <w:jc w:val="both"/>
        <w:rPr>
          <w:b/>
          <w:sz w:val="24"/>
          <w:szCs w:val="24"/>
          <w:lang w:val="sr-Latn-RS"/>
        </w:rPr>
      </w:pPr>
      <w:r w:rsidRPr="00D42A20">
        <w:rPr>
          <w:b/>
          <w:sz w:val="24"/>
          <w:szCs w:val="24"/>
          <w:lang w:val="sr-Latn-RS"/>
        </w:rPr>
        <w:t>Ustanova za izradu tapiserija "Atelje 61"</w:t>
      </w:r>
    </w:p>
    <w:p w:rsidR="00D42A20" w:rsidRPr="00D42A20" w:rsidRDefault="00D42A20" w:rsidP="00B7782D">
      <w:pPr>
        <w:jc w:val="both"/>
        <w:rPr>
          <w:b/>
          <w:sz w:val="24"/>
          <w:szCs w:val="24"/>
          <w:lang w:val="sr-Latn-RS"/>
        </w:rPr>
      </w:pPr>
      <w:r w:rsidRPr="00D42A20">
        <w:rPr>
          <w:b/>
          <w:sz w:val="24"/>
          <w:szCs w:val="24"/>
          <w:lang w:val="sr-Latn-RS"/>
        </w:rPr>
        <w:t>Petrovaradinska tvrđava, 9</w:t>
      </w:r>
    </w:p>
    <w:p w:rsidR="00130765" w:rsidRPr="00D42A20" w:rsidRDefault="00D42A20" w:rsidP="00B7782D">
      <w:pPr>
        <w:jc w:val="both"/>
        <w:rPr>
          <w:b/>
          <w:sz w:val="24"/>
          <w:szCs w:val="24"/>
          <w:lang w:val="sr-Latn-RS"/>
        </w:rPr>
      </w:pPr>
      <w:r w:rsidRPr="00D42A20">
        <w:rPr>
          <w:b/>
          <w:sz w:val="24"/>
          <w:szCs w:val="24"/>
          <w:lang w:val="sr-Latn-RS"/>
        </w:rPr>
        <w:t>21131 Petrovaradin</w:t>
      </w:r>
    </w:p>
    <w:p w:rsidR="00130765" w:rsidRPr="00900FAF" w:rsidRDefault="00130765" w:rsidP="00B7782D">
      <w:pPr>
        <w:jc w:val="both"/>
        <w:rPr>
          <w:sz w:val="24"/>
          <w:szCs w:val="24"/>
          <w:lang w:val="sr-Latn-RS"/>
        </w:rPr>
      </w:pPr>
    </w:p>
    <w:p w:rsidR="00D42A20" w:rsidRPr="00934A15" w:rsidRDefault="00130765" w:rsidP="00B7782D">
      <w:pPr>
        <w:jc w:val="both"/>
        <w:rPr>
          <w:b/>
          <w:sz w:val="24"/>
          <w:szCs w:val="24"/>
          <w:lang w:val="sr-Cyrl-RS"/>
        </w:rPr>
      </w:pPr>
      <w:r w:rsidRPr="00900FAF">
        <w:rPr>
          <w:sz w:val="24"/>
          <w:szCs w:val="24"/>
          <w:lang w:val="sr-Latn-RS"/>
        </w:rPr>
        <w:t xml:space="preserve">Naziv tendera: </w:t>
      </w:r>
      <w:r w:rsidR="00D42A20" w:rsidRPr="00130765">
        <w:rPr>
          <w:b/>
          <w:sz w:val="24"/>
          <w:szCs w:val="24"/>
          <w:lang w:val="sr-Latn-RS"/>
        </w:rPr>
        <w:t xml:space="preserve">Nabavka usluge sprovođenja procedure javnih nabavki za potrebe projekta </w:t>
      </w:r>
      <w:r w:rsidR="00D42A20" w:rsidRPr="00130765">
        <w:rPr>
          <w:b/>
          <w:sz w:val="24"/>
          <w:szCs w:val="24"/>
          <w:lang w:val="sr-Cyrl-RS"/>
        </w:rPr>
        <w:t>Umetničko carstvo bez granica kroz prilike i znanje (</w:t>
      </w:r>
      <w:r w:rsidR="00D42A20" w:rsidRPr="00130765">
        <w:rPr>
          <w:bCs/>
          <w:noProof/>
          <w:color w:val="000000"/>
          <w:sz w:val="24"/>
          <w:szCs w:val="24"/>
        </w:rPr>
        <w:t xml:space="preserve">Borderless Artistic Realm </w:t>
      </w:r>
      <w:r w:rsidR="00D42A20" w:rsidRPr="00934A15">
        <w:rPr>
          <w:b/>
          <w:sz w:val="24"/>
          <w:szCs w:val="24"/>
          <w:lang w:val="sr-Cyrl-RS"/>
        </w:rPr>
        <w:t>Through Opportunities and Knowledge –BARTOK)</w:t>
      </w:r>
    </w:p>
    <w:p w:rsidR="00D42A20" w:rsidRPr="00934A15" w:rsidRDefault="00D42A20" w:rsidP="00B7782D">
      <w:pPr>
        <w:jc w:val="both"/>
        <w:rPr>
          <w:b/>
          <w:sz w:val="24"/>
          <w:szCs w:val="24"/>
          <w:lang w:val="sr-Cyrl-RS"/>
        </w:rPr>
      </w:pPr>
    </w:p>
    <w:p w:rsidR="00D42A20" w:rsidRPr="00934A15" w:rsidRDefault="00D42A20" w:rsidP="00B7782D">
      <w:pPr>
        <w:jc w:val="both"/>
        <w:rPr>
          <w:b/>
          <w:sz w:val="24"/>
          <w:szCs w:val="24"/>
          <w:lang w:val="sr-Cyrl-RS"/>
        </w:rPr>
      </w:pPr>
      <w:r w:rsidRPr="00934A15">
        <w:rPr>
          <w:b/>
          <w:sz w:val="24"/>
          <w:szCs w:val="24"/>
          <w:lang w:val="sr-Cyrl-RS"/>
        </w:rPr>
        <w:t>Referentni broj:  HUSRB/23R/22/060/4.4.1</w:t>
      </w:r>
    </w:p>
    <w:p w:rsidR="00130765" w:rsidRPr="00934A15" w:rsidRDefault="00130765" w:rsidP="00B7782D">
      <w:pPr>
        <w:jc w:val="both"/>
        <w:rPr>
          <w:b/>
          <w:sz w:val="24"/>
          <w:szCs w:val="24"/>
          <w:lang w:val="sr-Cyrl-RS"/>
        </w:rPr>
      </w:pPr>
    </w:p>
    <w:p w:rsidR="00130765" w:rsidRPr="00934A15" w:rsidRDefault="00130765" w:rsidP="00B7782D">
      <w:pPr>
        <w:jc w:val="both"/>
        <w:rPr>
          <w:b/>
          <w:sz w:val="24"/>
          <w:szCs w:val="24"/>
          <w:lang w:val="sr-Cyrl-RS"/>
        </w:rPr>
      </w:pPr>
      <w:r w:rsidRPr="00934A15">
        <w:rPr>
          <w:b/>
          <w:sz w:val="24"/>
          <w:szCs w:val="24"/>
          <w:lang w:val="sr-Cyrl-RS"/>
        </w:rPr>
        <w:t>Naznaku: ‘’Not to be opened before the tender opening session’’ (“Ne otvarati pre sastanka za</w:t>
      </w:r>
      <w:r w:rsidRPr="00900FAF">
        <w:rPr>
          <w:sz w:val="24"/>
          <w:szCs w:val="24"/>
          <w:lang w:val="sr-Latn-RS"/>
        </w:rPr>
        <w:t xml:space="preserve"> </w:t>
      </w:r>
      <w:r w:rsidRPr="00934A15">
        <w:rPr>
          <w:b/>
          <w:sz w:val="24"/>
          <w:szCs w:val="24"/>
          <w:lang w:val="sr-Cyrl-RS"/>
        </w:rPr>
        <w:t>otvaranje ponuda’’)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Ponude se moraju podneti korišćenjem sistema dvostrukih koverti, jedan  spoljašnji paket ili koverta mora sadržati dve zasebne zapečaćene koverte, jedna sa naznakom "Tehnička ponuda" – Deo B a druga sa naznakom "Finansijska ponuda" – Deo C. Bilo kakvo odstupanje od ovog pravila (npr. nezapečaćene koverte ili navođenje cene u tehničkoj ponudi) smatraće se kršenjem pravila i vodiće odbijanju ponude.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Ponude se podnose lično, poštom ili kurirskom službom na sledeću adresu: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D42A20" w:rsidRPr="00D42A20" w:rsidRDefault="00D42A20" w:rsidP="00B7782D">
      <w:pPr>
        <w:jc w:val="both"/>
        <w:rPr>
          <w:b/>
          <w:sz w:val="24"/>
          <w:szCs w:val="24"/>
          <w:lang w:val="sr-Latn-RS"/>
        </w:rPr>
      </w:pPr>
      <w:r w:rsidRPr="00D42A20">
        <w:rPr>
          <w:b/>
          <w:sz w:val="24"/>
          <w:szCs w:val="24"/>
          <w:lang w:val="sr-Latn-RS"/>
        </w:rPr>
        <w:t>Ustanova za izradu tapiserija "Atelje 61"</w:t>
      </w:r>
    </w:p>
    <w:p w:rsidR="00D42A20" w:rsidRPr="00D42A20" w:rsidRDefault="00345B43" w:rsidP="00B7782D">
      <w:pPr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Petrovaradinska tvrđava</w:t>
      </w:r>
      <w:r w:rsidR="00D42A20" w:rsidRPr="00D42A20">
        <w:rPr>
          <w:b/>
          <w:sz w:val="24"/>
          <w:szCs w:val="24"/>
          <w:lang w:val="sr-Latn-RS"/>
        </w:rPr>
        <w:t xml:space="preserve"> 9</w:t>
      </w:r>
    </w:p>
    <w:p w:rsidR="00D42A20" w:rsidRPr="00D42A20" w:rsidRDefault="00D42A20" w:rsidP="00B7782D">
      <w:pPr>
        <w:jc w:val="both"/>
        <w:rPr>
          <w:b/>
          <w:sz w:val="24"/>
          <w:szCs w:val="24"/>
          <w:lang w:val="sr-Latn-RS"/>
        </w:rPr>
      </w:pPr>
      <w:r w:rsidRPr="00D42A20">
        <w:rPr>
          <w:b/>
          <w:sz w:val="24"/>
          <w:szCs w:val="24"/>
          <w:lang w:val="sr-Latn-RS"/>
        </w:rPr>
        <w:t>21131 Petrovaradin</w:t>
      </w:r>
    </w:p>
    <w:p w:rsidR="00130765" w:rsidRPr="00C80EDD" w:rsidRDefault="00130765" w:rsidP="00B7782D">
      <w:pPr>
        <w:jc w:val="both"/>
        <w:rPr>
          <w:b/>
          <w:sz w:val="24"/>
          <w:lang w:val="sr-Latn-RS"/>
        </w:rPr>
      </w:pPr>
    </w:p>
    <w:p w:rsidR="00130765" w:rsidRPr="00C967CD" w:rsidRDefault="00130765" w:rsidP="00B7782D">
      <w:pPr>
        <w:jc w:val="both"/>
        <w:rPr>
          <w:b/>
          <w:sz w:val="24"/>
          <w:szCs w:val="24"/>
          <w:lang w:val="sr-Latn-RS"/>
        </w:rPr>
      </w:pPr>
      <w:r w:rsidRPr="00C967CD">
        <w:rPr>
          <w:b/>
          <w:sz w:val="24"/>
          <w:szCs w:val="24"/>
          <w:lang w:val="sr-Latn-RS"/>
        </w:rPr>
        <w:t xml:space="preserve">Kontakt lice: </w:t>
      </w:r>
      <w:r w:rsidR="00D42A20" w:rsidRPr="00C967CD">
        <w:rPr>
          <w:b/>
          <w:sz w:val="24"/>
          <w:szCs w:val="24"/>
          <w:lang w:val="sr-Latn-RS"/>
        </w:rPr>
        <w:t>Anita Živković</w:t>
      </w:r>
    </w:p>
    <w:p w:rsidR="00130765" w:rsidRPr="00C967CD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Ponuđači se podsećaju da će se uzeti u razmatranje samo ponude pristigle do krajnjeg roka koji je gore naveden.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0"/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TEHNIČKE INFORMACIJE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Ponuđači su u obavezi da pruže dole navedene usluge. U svojoj tehničkoj ponudi ponuđači treba detaljnije da opišu tražene usluge a pr</w:t>
      </w:r>
      <w:r>
        <w:rPr>
          <w:sz w:val="24"/>
          <w:szCs w:val="24"/>
          <w:lang w:val="sr-Latn-RS"/>
        </w:rPr>
        <w:t>ema dole postavljenim zahtevima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345B43" w:rsidRDefault="00130765" w:rsidP="00345B43">
      <w:pPr>
        <w:pStyle w:val="ListParagraph"/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2.1.Aktivnosti:</w:t>
      </w:r>
    </w:p>
    <w:p w:rsidR="00345B43" w:rsidRDefault="00345B43" w:rsidP="00345B43">
      <w:pPr>
        <w:pStyle w:val="ListParagraph"/>
        <w:jc w:val="both"/>
        <w:rPr>
          <w:b/>
          <w:sz w:val="24"/>
          <w:szCs w:val="24"/>
          <w:lang w:val="sr-Latn-RS"/>
        </w:rPr>
      </w:pPr>
    </w:p>
    <w:p w:rsidR="00130765" w:rsidRPr="00345B43" w:rsidRDefault="00D42A20" w:rsidP="00345B43">
      <w:pPr>
        <w:pStyle w:val="ListParagraph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U</w:t>
      </w:r>
      <w:r w:rsidRPr="00130765">
        <w:rPr>
          <w:b/>
          <w:sz w:val="24"/>
          <w:szCs w:val="24"/>
          <w:lang w:val="sr-Latn-RS"/>
        </w:rPr>
        <w:t xml:space="preserve">sluge sprovođenja procedure javnih nabavki za potrebe projekta </w:t>
      </w:r>
      <w:r w:rsidRPr="00130765">
        <w:rPr>
          <w:b/>
          <w:sz w:val="24"/>
          <w:szCs w:val="24"/>
          <w:lang w:val="sr-Cyrl-RS"/>
        </w:rPr>
        <w:t>Umetničko carstvo bez granica kroz prilike i znanje (</w:t>
      </w:r>
      <w:r w:rsidRPr="00130765">
        <w:rPr>
          <w:bCs/>
          <w:noProof/>
          <w:color w:val="000000"/>
          <w:sz w:val="24"/>
          <w:szCs w:val="24"/>
        </w:rPr>
        <w:t>Borderless Artistic Realm Through Opportunities and Knowledge</w:t>
      </w:r>
      <w:r w:rsidRPr="00130765">
        <w:rPr>
          <w:b/>
          <w:sz w:val="24"/>
          <w:szCs w:val="24"/>
          <w:lang w:val="sr-Latn-RS"/>
        </w:rPr>
        <w:t xml:space="preserve"> –BARTOK)</w:t>
      </w:r>
    </w:p>
    <w:p w:rsidR="00D42A20" w:rsidRPr="00A16D93" w:rsidRDefault="00D42A20" w:rsidP="00B7782D">
      <w:pPr>
        <w:pStyle w:val="ListParagraph"/>
        <w:jc w:val="both"/>
        <w:rPr>
          <w:i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Izrada dokumentacije za javne nabavke koje je potrebno sprovesti u okviru projektnih aktivnosti, a u skladu sa pravilima Programa. 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Obaveza ponuđača je da nakon potpisivanja ugovora u saradnji sa Naručiocem definiše dinamiku sprovođenja postupaka javnih nabavki u okviru predmetnog projekta, u skladu sa planom aktivnosti iz Aplikacionog formulara i raspoloživim budžetima.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345B4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Redosled sprovođenja tenderskih procedura definisan je planom aktivnosti na projektu. Naručilac mora da bude na raspolaganju tokom trajanja ugovora i da na vreme dostavi kompletirana dokumenta, u elektronskom formatu, koja su potrebna za pojedine procedure javnih nabavki. </w:t>
      </w:r>
    </w:p>
    <w:p w:rsidR="00130765" w:rsidRPr="0053747D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Dobavljač se obavezuje da sprovede javne nabavke, odnosno kompletnu proceduru, od formiranja tenderske dokumentacije, raspisivanja javne nabavke, sve do evaluacije i potpisivanja ugovora za sve javne nabavke u okviru predmetnog projekta, i to:</w:t>
      </w:r>
    </w:p>
    <w:p w:rsidR="00130765" w:rsidRPr="0053747D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53747D" w:rsidRDefault="00130765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53747D">
        <w:rPr>
          <w:sz w:val="24"/>
          <w:szCs w:val="24"/>
          <w:lang w:val="sr-Latn-RS"/>
        </w:rPr>
        <w:t xml:space="preserve">Za budžetske pozicije </w:t>
      </w:r>
      <w:r w:rsidR="00C967CD" w:rsidRPr="0053747D">
        <w:t xml:space="preserve">4.6.1. </w:t>
      </w:r>
      <w:proofErr w:type="spellStart"/>
      <w:proofErr w:type="gramStart"/>
      <w:r w:rsidR="00C967CD" w:rsidRPr="0053747D">
        <w:t>i</w:t>
      </w:r>
      <w:proofErr w:type="spellEnd"/>
      <w:proofErr w:type="gramEnd"/>
      <w:r w:rsidR="00C967CD" w:rsidRPr="0053747D">
        <w:t xml:space="preserve"> 4.7.7</w:t>
      </w:r>
      <w:r w:rsidR="00C967CD" w:rsidRPr="0053747D">
        <w:rPr>
          <w:b/>
        </w:rPr>
        <w:t>.</w:t>
      </w:r>
      <w:r w:rsidR="00C967CD" w:rsidRPr="0053747D">
        <w:rPr>
          <w:sz w:val="24"/>
          <w:szCs w:val="24"/>
          <w:lang w:val="sr-Latn-RS"/>
        </w:rPr>
        <w:t xml:space="preserve"> - Nabavka usluga komunikacija- obaveznog paketa i nabavka promo materijala</w:t>
      </w:r>
    </w:p>
    <w:p w:rsidR="00BA63A1" w:rsidRPr="0053747D" w:rsidRDefault="00130765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53747D">
        <w:rPr>
          <w:sz w:val="24"/>
          <w:szCs w:val="24"/>
          <w:lang w:val="sr-Latn-RS"/>
        </w:rPr>
        <w:t xml:space="preserve">Za budžetske pozicije </w:t>
      </w:r>
      <w:r w:rsidR="00C967CD" w:rsidRPr="0053747D">
        <w:t>4.3.1, 5.2.1. I 4.7.4.</w:t>
      </w:r>
      <w:r w:rsidRPr="0053747D">
        <w:rPr>
          <w:sz w:val="24"/>
          <w:szCs w:val="24"/>
          <w:lang w:val="sr-Latn-RS"/>
        </w:rPr>
        <w:t xml:space="preserve">.- </w:t>
      </w:r>
      <w:r w:rsidR="00C967CD" w:rsidRPr="0053747D">
        <w:rPr>
          <w:sz w:val="24"/>
          <w:szCs w:val="24"/>
          <w:lang w:val="sr-Latn-RS"/>
        </w:rPr>
        <w:t xml:space="preserve">Nabavka usluge organizacije otvarajuće </w:t>
      </w:r>
      <w:r w:rsidRPr="0053747D">
        <w:rPr>
          <w:sz w:val="24"/>
          <w:szCs w:val="24"/>
          <w:lang w:val="sr-Latn-RS"/>
        </w:rPr>
        <w:t>konferencije, usluga iznaj</w:t>
      </w:r>
      <w:r w:rsidR="00C967CD" w:rsidRPr="0053747D">
        <w:rPr>
          <w:sz w:val="24"/>
          <w:szCs w:val="24"/>
          <w:lang w:val="sr-Latn-RS"/>
        </w:rPr>
        <w:t>mljivanja opreme za prevođenje i usluga prevođenja za potrebe projekta</w:t>
      </w:r>
    </w:p>
    <w:p w:rsidR="00130765" w:rsidRPr="0053747D" w:rsidRDefault="00130765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53747D">
        <w:rPr>
          <w:sz w:val="24"/>
          <w:szCs w:val="24"/>
          <w:lang w:val="sr-Latn-RS"/>
        </w:rPr>
        <w:t>Za budžetsku poziciju 5.1.1.</w:t>
      </w:r>
      <w:r w:rsidR="00BA63A1" w:rsidRPr="0053747D">
        <w:rPr>
          <w:sz w:val="24"/>
          <w:szCs w:val="24"/>
          <w:lang w:val="sr-Latn-RS"/>
        </w:rPr>
        <w:t>,5.1.2., 5.1.3., 5.1.4., 5.1.5.,5.1.6., 5.1.7.</w:t>
      </w:r>
      <w:r w:rsidRPr="0053747D">
        <w:rPr>
          <w:sz w:val="24"/>
          <w:szCs w:val="24"/>
          <w:lang w:val="sr-Latn-RS"/>
        </w:rPr>
        <w:t xml:space="preserve"> </w:t>
      </w:r>
      <w:r w:rsidR="00BA63A1" w:rsidRPr="0053747D">
        <w:rPr>
          <w:sz w:val="24"/>
          <w:szCs w:val="24"/>
          <w:lang w:val="sr-Latn-RS"/>
        </w:rPr>
        <w:t xml:space="preserve"> i 4.7.6. </w:t>
      </w:r>
      <w:r w:rsidRPr="0053747D">
        <w:rPr>
          <w:sz w:val="24"/>
          <w:szCs w:val="24"/>
          <w:lang w:val="sr-Latn-RS"/>
        </w:rPr>
        <w:t>- Nabavka opreme</w:t>
      </w:r>
      <w:r w:rsidR="00BA63A1" w:rsidRPr="0053747D">
        <w:rPr>
          <w:sz w:val="24"/>
          <w:szCs w:val="24"/>
          <w:lang w:val="sr-Latn-RS"/>
        </w:rPr>
        <w:t xml:space="preserve"> i nabavka softvera</w:t>
      </w:r>
      <w:r w:rsidRPr="0053747D">
        <w:rPr>
          <w:sz w:val="24"/>
          <w:szCs w:val="24"/>
          <w:lang w:val="sr-Latn-RS"/>
        </w:rPr>
        <w:t xml:space="preserve"> </w:t>
      </w:r>
    </w:p>
    <w:p w:rsidR="00C967CD" w:rsidRPr="0053747D" w:rsidRDefault="00C967CD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345B43">
        <w:rPr>
          <w:sz w:val="24"/>
          <w:szCs w:val="24"/>
          <w:lang w:val="sr-Latn-RS"/>
        </w:rPr>
        <w:t>Za budžetsku poziciju 4.7.5. – Nabavka repromaterijala</w:t>
      </w:r>
    </w:p>
    <w:p w:rsidR="00AF3950" w:rsidRPr="0022385A" w:rsidRDefault="00AF3950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345B43">
        <w:rPr>
          <w:sz w:val="24"/>
          <w:szCs w:val="24"/>
          <w:lang w:val="sr-Latn-RS"/>
        </w:rPr>
        <w:t xml:space="preserve">Za budžetsku poziciju </w:t>
      </w:r>
      <w:r w:rsidR="009D1F9C" w:rsidRPr="00345B43">
        <w:rPr>
          <w:sz w:val="24"/>
          <w:szCs w:val="24"/>
          <w:lang w:val="sr-Latn-RS"/>
        </w:rPr>
        <w:t xml:space="preserve">4.3.2.  </w:t>
      </w:r>
      <w:r w:rsidRPr="00345B43">
        <w:rPr>
          <w:sz w:val="24"/>
          <w:szCs w:val="24"/>
          <w:lang w:val="sr-Latn-RS"/>
        </w:rPr>
        <w:t xml:space="preserve"> </w:t>
      </w:r>
      <w:r w:rsidR="009D1F9C" w:rsidRPr="00345B43">
        <w:rPr>
          <w:sz w:val="24"/>
          <w:szCs w:val="24"/>
          <w:lang w:val="sr-Latn-RS"/>
        </w:rPr>
        <w:t xml:space="preserve">Airstep trening </w:t>
      </w:r>
    </w:p>
    <w:p w:rsidR="0022385A" w:rsidRPr="0053747D" w:rsidRDefault="0022385A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345B43">
        <w:rPr>
          <w:sz w:val="24"/>
          <w:szCs w:val="24"/>
          <w:lang w:val="sr-Latn-RS"/>
        </w:rPr>
        <w:t>Za budzetsku poziciju 4.7.1. Nabavka usluge artist in residence programa</w:t>
      </w:r>
      <w:r w:rsidR="00345B43">
        <w:rPr>
          <w:sz w:val="24"/>
          <w:szCs w:val="24"/>
          <w:lang w:val="sr-Latn-RS"/>
        </w:rPr>
        <w:t xml:space="preserve"> (usluge ishrane umetnika)</w:t>
      </w:r>
    </w:p>
    <w:p w:rsidR="00BA63A1" w:rsidRPr="0053747D" w:rsidRDefault="00BA63A1" w:rsidP="00B7782D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345B43">
        <w:rPr>
          <w:sz w:val="24"/>
          <w:szCs w:val="24"/>
          <w:lang w:val="sr-Latn-RS"/>
        </w:rPr>
        <w:t xml:space="preserve">Za budzetske pozicije </w:t>
      </w:r>
      <w:r w:rsidR="009D1F9C" w:rsidRPr="00345B43">
        <w:rPr>
          <w:sz w:val="24"/>
          <w:szCs w:val="24"/>
          <w:lang w:val="sr-Latn-RS"/>
        </w:rPr>
        <w:t xml:space="preserve"> </w:t>
      </w:r>
      <w:r w:rsidRPr="00345B43">
        <w:rPr>
          <w:sz w:val="24"/>
          <w:szCs w:val="24"/>
          <w:lang w:val="sr-Latn-RS"/>
        </w:rPr>
        <w:t>4.7.2. I 4.7.3.  Nabavka usluge</w:t>
      </w:r>
      <w:r w:rsidR="009D1F9C" w:rsidRPr="00345B43">
        <w:rPr>
          <w:sz w:val="24"/>
          <w:szCs w:val="24"/>
          <w:lang w:val="sr-Latn-RS"/>
        </w:rPr>
        <w:t xml:space="preserve"> </w:t>
      </w:r>
      <w:r w:rsidRPr="00345B43">
        <w:rPr>
          <w:sz w:val="24"/>
          <w:szCs w:val="24"/>
          <w:lang w:val="sr-Latn-RS"/>
        </w:rPr>
        <w:t xml:space="preserve">organizacije </w:t>
      </w:r>
      <w:r w:rsidR="00186DB1" w:rsidRPr="00345B43">
        <w:rPr>
          <w:sz w:val="24"/>
          <w:szCs w:val="24"/>
          <w:lang w:val="sr-Latn-RS"/>
        </w:rPr>
        <w:t>zajedničkog kulturnog festival i</w:t>
      </w:r>
      <w:r w:rsidRPr="00345B43">
        <w:rPr>
          <w:sz w:val="24"/>
          <w:szCs w:val="24"/>
          <w:lang w:val="sr-Latn-RS"/>
        </w:rPr>
        <w:t xml:space="preserve"> izložbe</w:t>
      </w:r>
    </w:p>
    <w:p w:rsidR="00130765" w:rsidRPr="0053747D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53747D" w:rsidRDefault="00130765" w:rsidP="00B7782D">
      <w:pPr>
        <w:jc w:val="both"/>
        <w:rPr>
          <w:sz w:val="24"/>
          <w:szCs w:val="24"/>
          <w:u w:val="single"/>
          <w:lang w:val="sr-Latn-RS"/>
        </w:rPr>
      </w:pPr>
      <w:r w:rsidRPr="0053747D">
        <w:rPr>
          <w:sz w:val="24"/>
          <w:szCs w:val="24"/>
          <w:u w:val="single"/>
          <w:lang w:val="sr-Latn-RS"/>
        </w:rPr>
        <w:t>Zahtevani inputi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Kvalifikacije i veštine za fizičk</w:t>
      </w:r>
      <w:r>
        <w:rPr>
          <w:sz w:val="24"/>
          <w:szCs w:val="24"/>
          <w:lang w:val="sr-Latn-RS"/>
        </w:rPr>
        <w:t>a</w:t>
      </w:r>
      <w:r w:rsidRPr="00A16D93">
        <w:rPr>
          <w:sz w:val="24"/>
          <w:szCs w:val="24"/>
          <w:lang w:val="sr-Latn-RS"/>
        </w:rPr>
        <w:t xml:space="preserve"> lic</w:t>
      </w:r>
      <w:r>
        <w:rPr>
          <w:sz w:val="24"/>
          <w:szCs w:val="24"/>
          <w:lang w:val="sr-Latn-RS"/>
        </w:rPr>
        <w:t>a</w:t>
      </w:r>
      <w:r w:rsidRPr="00A16D93">
        <w:rPr>
          <w:sz w:val="24"/>
          <w:szCs w:val="24"/>
          <w:lang w:val="sr-Latn-RS"/>
        </w:rPr>
        <w:t>/ekspert</w:t>
      </w:r>
      <w:r>
        <w:rPr>
          <w:sz w:val="24"/>
          <w:szCs w:val="24"/>
          <w:lang w:val="sr-Latn-RS"/>
        </w:rPr>
        <w:t>e</w:t>
      </w:r>
      <w:r w:rsidRPr="00A16D93">
        <w:rPr>
          <w:sz w:val="24"/>
          <w:szCs w:val="24"/>
          <w:lang w:val="sr-Latn-RS"/>
        </w:rPr>
        <w:t xml:space="preserve"> za javne nabavke:</w:t>
      </w:r>
    </w:p>
    <w:p w:rsidR="00130765" w:rsidRDefault="00130765" w:rsidP="00B7782D">
      <w:pPr>
        <w:widowControl/>
        <w:numPr>
          <w:ilvl w:val="1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minimum srednja stručna sprema </w:t>
      </w:r>
      <w:r w:rsidRPr="00A16D93">
        <w:rPr>
          <w:sz w:val="24"/>
          <w:szCs w:val="24"/>
          <w:lang w:val="sr-Latn-RS"/>
        </w:rPr>
        <w:t>(VSS će biti prednost)</w:t>
      </w:r>
      <w:r>
        <w:rPr>
          <w:sz w:val="24"/>
          <w:szCs w:val="24"/>
          <w:lang w:val="sr-Latn-RS"/>
        </w:rPr>
        <w:t>,</w:t>
      </w:r>
    </w:p>
    <w:p w:rsidR="00130765" w:rsidRDefault="00130765" w:rsidP="00B7782D">
      <w:pPr>
        <w:widowControl/>
        <w:numPr>
          <w:ilvl w:val="1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4C2178">
        <w:rPr>
          <w:sz w:val="24"/>
          <w:szCs w:val="24"/>
          <w:lang w:val="sr-Latn-RS"/>
        </w:rPr>
        <w:t>poznavanje engleskog i srpskog</w:t>
      </w:r>
      <w:r>
        <w:rPr>
          <w:sz w:val="24"/>
          <w:szCs w:val="24"/>
          <w:lang w:val="sr-Latn-RS"/>
        </w:rPr>
        <w:t xml:space="preserve"> jezika,</w:t>
      </w:r>
    </w:p>
    <w:p w:rsidR="00130765" w:rsidRDefault="00345B43" w:rsidP="00B7782D">
      <w:pPr>
        <w:widowControl/>
        <w:numPr>
          <w:ilvl w:val="1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više</w:t>
      </w:r>
      <w:r w:rsidR="00130765" w:rsidRPr="004C2178">
        <w:rPr>
          <w:sz w:val="24"/>
          <w:szCs w:val="24"/>
          <w:lang w:val="sr-Latn-RS"/>
        </w:rPr>
        <w:t xml:space="preserve"> godine radnog iskustva </w:t>
      </w:r>
      <w:r w:rsidR="00541562">
        <w:rPr>
          <w:sz w:val="24"/>
          <w:szCs w:val="24"/>
          <w:lang w:val="sr-Latn-RS"/>
        </w:rPr>
        <w:t>u realizaciji sličnih poslova</w:t>
      </w:r>
    </w:p>
    <w:p w:rsidR="00130765" w:rsidRPr="004C2178" w:rsidRDefault="00130765" w:rsidP="00B7782D">
      <w:pPr>
        <w:widowControl/>
        <w:numPr>
          <w:ilvl w:val="1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d</w:t>
      </w:r>
      <w:r w:rsidRPr="004C2178">
        <w:rPr>
          <w:sz w:val="24"/>
          <w:szCs w:val="24"/>
          <w:lang w:val="sr-Latn-RS"/>
        </w:rPr>
        <w:t>obro poznavanje rada na računaru naročito MS Office i internet.</w:t>
      </w: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Dokaz koji se prilaže uz ponudu:</w:t>
      </w:r>
    </w:p>
    <w:p w:rsidR="00130765" w:rsidRPr="00345B43" w:rsidRDefault="00130765" w:rsidP="00345B43">
      <w:pPr>
        <w:widowControl/>
        <w:numPr>
          <w:ilvl w:val="2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B80D15">
        <w:rPr>
          <w:sz w:val="24"/>
          <w:szCs w:val="24"/>
          <w:lang w:val="sr-Latn-RS"/>
        </w:rPr>
        <w:t>CV</w:t>
      </w:r>
      <w:r w:rsidRPr="004C2178">
        <w:t xml:space="preserve"> </w:t>
      </w:r>
      <w:r w:rsidR="00345B43">
        <w:rPr>
          <w:sz w:val="24"/>
          <w:szCs w:val="24"/>
          <w:lang w:val="sr-Latn-RS"/>
        </w:rPr>
        <w:t xml:space="preserve">eksperta </w:t>
      </w:r>
      <w:r w:rsidRPr="00B80D15">
        <w:rPr>
          <w:sz w:val="24"/>
          <w:szCs w:val="24"/>
          <w:lang w:val="sr-Latn-RS"/>
        </w:rPr>
        <w:t xml:space="preserve">iz kojih se može </w:t>
      </w:r>
      <w:r w:rsidR="00345B43">
        <w:rPr>
          <w:sz w:val="24"/>
          <w:szCs w:val="24"/>
          <w:lang w:val="sr-Latn-RS"/>
        </w:rPr>
        <w:t xml:space="preserve">zaključiti da ima tražene kvalifikacije. </w:t>
      </w:r>
    </w:p>
    <w:p w:rsidR="00130765" w:rsidRPr="0053747D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Period izvršenja usluge: </w:t>
      </w:r>
      <w:r w:rsidR="00591637">
        <w:rPr>
          <w:sz w:val="24"/>
          <w:szCs w:val="24"/>
          <w:lang w:val="sr-Latn-RS"/>
        </w:rPr>
        <w:t>Novembar</w:t>
      </w:r>
      <w:r>
        <w:rPr>
          <w:sz w:val="24"/>
          <w:szCs w:val="24"/>
          <w:lang w:val="sr-Latn-RS"/>
        </w:rPr>
        <w:t xml:space="preserve"> 2024-</w:t>
      </w:r>
      <w:r w:rsidR="00B7782D">
        <w:rPr>
          <w:sz w:val="24"/>
          <w:szCs w:val="24"/>
          <w:lang w:val="sr-Latn-RS"/>
        </w:rPr>
        <w:t>Maj</w:t>
      </w:r>
      <w:r>
        <w:rPr>
          <w:sz w:val="24"/>
          <w:szCs w:val="24"/>
          <w:lang w:val="sr-Latn-RS"/>
        </w:rPr>
        <w:t xml:space="preserve"> 2025</w:t>
      </w:r>
      <w:r w:rsidRPr="00A16D93">
        <w:rPr>
          <w:sz w:val="24"/>
          <w:szCs w:val="24"/>
          <w:lang w:val="sr-Latn-RS"/>
        </w:rPr>
        <w:t>.</w:t>
      </w:r>
      <w:r w:rsidR="00345B43">
        <w:rPr>
          <w:sz w:val="24"/>
          <w:szCs w:val="24"/>
          <w:lang w:val="sr-Latn-RS"/>
        </w:rPr>
        <w:t xml:space="preserve"> godine.</w:t>
      </w:r>
    </w:p>
    <w:p w:rsidR="00541562" w:rsidRPr="00A16D93" w:rsidRDefault="00541562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i/>
          <w:sz w:val="24"/>
          <w:szCs w:val="24"/>
          <w:lang w:val="sr-Latn-RS"/>
        </w:rPr>
      </w:pPr>
    </w:p>
    <w:p w:rsidR="00130765" w:rsidRPr="00A16D93" w:rsidRDefault="00130765" w:rsidP="00B7782D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0"/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DODATNE INFORMACIJE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 xml:space="preserve">Neuspešni/uspešni ponuđači će biti informisani o rezultatima evaluacije. U tom slučaju Naručilac će poslati obaveštenje uspešnom ponuđaču i objaviti na web sajtu ime uspešnog ponuđača napominjući da “preostale ponude nisu admisistrativno/tehnički/finansijski usklađene.”  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u w:val="single"/>
          <w:lang w:val="sr-Latn-RS"/>
        </w:rPr>
      </w:pPr>
      <w:r w:rsidRPr="00A16D93">
        <w:rPr>
          <w:sz w:val="24"/>
          <w:szCs w:val="24"/>
          <w:u w:val="single"/>
          <w:lang w:val="sr-Latn-RS"/>
        </w:rPr>
        <w:t>Poverljivost</w:t>
      </w:r>
    </w:p>
    <w:p w:rsidR="00130765" w:rsidRPr="00A16D93" w:rsidRDefault="00130765" w:rsidP="00B7782D">
      <w:pPr>
        <w:pStyle w:val="Heading3"/>
        <w:jc w:val="both"/>
        <w:rPr>
          <w:b w:val="0"/>
          <w:lang w:val="sr-Latn-RS"/>
        </w:rPr>
      </w:pPr>
      <w:r w:rsidRPr="00A16D93">
        <w:rPr>
          <w:b w:val="0"/>
          <w:sz w:val="24"/>
          <w:szCs w:val="24"/>
          <w:lang w:val="sr-Latn-RS"/>
        </w:rPr>
        <w:lastRenderedPageBreak/>
        <w:t xml:space="preserve">Celokupna procedura evaluacije je poverljiva, i podleže zakonima naručioca koji se odnose na pristup dokumentima. Odluke evaluacione komisije su kolektivne i ona odluke donosi na zatvorenim sastancima. Članovi evaluacione komisije su se obavezali na tajnost. Evaluacioni izveštaji i pisana dokumenta su namenjena samo za službenu upotrebu i ne smeju se prenositi ni ponuđačima ni bilo kome drugome osim naručiocu, Evropskoj Komisiji, Evropskoj službi za suzbijanje prevara (OLAF) i Evropskom revizorskom sudu.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345B43" w:rsidRDefault="00345B43" w:rsidP="00B7782D">
      <w:pPr>
        <w:jc w:val="both"/>
        <w:rPr>
          <w:sz w:val="24"/>
          <w:szCs w:val="24"/>
          <w:lang w:val="sr-Latn-RS"/>
        </w:rPr>
      </w:pPr>
    </w:p>
    <w:p w:rsidR="00B7782D" w:rsidRDefault="00B7782D" w:rsidP="00B7782D">
      <w:pPr>
        <w:jc w:val="both"/>
        <w:rPr>
          <w:sz w:val="24"/>
          <w:szCs w:val="24"/>
          <w:lang w:val="sr-Latn-RS"/>
        </w:rPr>
      </w:pPr>
    </w:p>
    <w:p w:rsidR="00130765" w:rsidRDefault="00130765" w:rsidP="00B7782D">
      <w:pPr>
        <w:jc w:val="both"/>
        <w:rPr>
          <w:sz w:val="24"/>
          <w:szCs w:val="24"/>
          <w:lang w:val="sr-Latn-RS"/>
        </w:rPr>
      </w:pPr>
    </w:p>
    <w:p w:rsidR="0053747D" w:rsidRPr="00A16D93" w:rsidRDefault="0053747D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130765" w:rsidRPr="00A16D93" w:rsidTr="00EE0213">
        <w:tc>
          <w:tcPr>
            <w:tcW w:w="9000" w:type="dxa"/>
          </w:tcPr>
          <w:p w:rsidR="00130765" w:rsidRPr="00A16D93" w:rsidRDefault="00130765" w:rsidP="00B7782D">
            <w:pPr>
              <w:jc w:val="both"/>
              <w:rPr>
                <w:lang w:val="sr-Latn-RS"/>
              </w:rPr>
            </w:pPr>
            <w:r w:rsidRPr="00A16D93">
              <w:rPr>
                <w:lang w:val="sr-Latn-RS"/>
              </w:rPr>
              <w:lastRenderedPageBreak/>
              <w:t xml:space="preserve">                                NE POPUNJAVATI PRE POTPISIVANJA UGOVORA </w:t>
            </w:r>
          </w:p>
        </w:tc>
      </w:tr>
      <w:tr w:rsidR="00130765" w:rsidRPr="00A16D93" w:rsidTr="00EE0213">
        <w:tc>
          <w:tcPr>
            <w:tcW w:w="9000" w:type="dxa"/>
          </w:tcPr>
          <w:p w:rsidR="00130765" w:rsidRPr="00A16D93" w:rsidRDefault="00130765" w:rsidP="00B7782D">
            <w:pPr>
              <w:jc w:val="both"/>
              <w:rPr>
                <w:lang w:val="sr-Latn-RS"/>
              </w:rPr>
            </w:pPr>
            <w:r w:rsidRPr="00A16D93">
              <w:rPr>
                <w:lang w:val="sr-Latn-RS"/>
              </w:rPr>
              <w:t xml:space="preserve">                                          NE PODNOSITI U OKVIRU PONUDE!!!</w:t>
            </w:r>
          </w:p>
        </w:tc>
      </w:tr>
    </w:tbl>
    <w:p w:rsidR="00130765" w:rsidRPr="00A16D93" w:rsidRDefault="00130765" w:rsidP="00B7782D">
      <w:pPr>
        <w:jc w:val="both"/>
        <w:rPr>
          <w:b/>
          <w:sz w:val="24"/>
          <w:szCs w:val="24"/>
          <w:u w:val="single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u w:val="single"/>
          <w:lang w:val="sr-Latn-RS"/>
        </w:rPr>
      </w:pPr>
      <w:r w:rsidRPr="00A16D93">
        <w:rPr>
          <w:b/>
          <w:sz w:val="24"/>
          <w:szCs w:val="24"/>
          <w:u w:val="single"/>
          <w:lang w:val="sr-Latn-RS"/>
        </w:rPr>
        <w:t>FORMAT UGOVORA IZMEĐU IZVRŠIOCA I NARUČIOCA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 xml:space="preserve">NAZIV UGOVORA: </w:t>
      </w:r>
      <w:r w:rsidRPr="00A16D93">
        <w:rPr>
          <w:sz w:val="24"/>
          <w:szCs w:val="24"/>
          <w:highlight w:val="yellow"/>
          <w:lang w:val="sr-Latn-RS"/>
        </w:rPr>
        <w:t>naziv ugovora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 xml:space="preserve">REF: </w:t>
      </w:r>
      <w:r w:rsidRPr="00A16D93">
        <w:rPr>
          <w:sz w:val="24"/>
          <w:szCs w:val="24"/>
          <w:highlight w:val="yellow"/>
          <w:lang w:val="sr-Latn-RS"/>
        </w:rPr>
        <w:t>referentni broj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Zaključen između: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i/>
          <w:sz w:val="24"/>
          <w:szCs w:val="24"/>
          <w:highlight w:val="yellow"/>
          <w:lang w:val="sr-Latn-RS"/>
        </w:rPr>
      </w:pPr>
      <w:r w:rsidRPr="00A16D93">
        <w:rPr>
          <w:sz w:val="24"/>
          <w:szCs w:val="24"/>
          <w:lang w:val="sr-Latn-RS"/>
        </w:rPr>
        <w:t>&lt;</w:t>
      </w:r>
      <w:r w:rsidRPr="00A16D93">
        <w:rPr>
          <w:i/>
          <w:sz w:val="24"/>
          <w:szCs w:val="24"/>
          <w:highlight w:val="yellow"/>
          <w:lang w:val="sr-Latn-RS"/>
        </w:rPr>
        <w:t>Poslovno ime</w:t>
      </w:r>
      <w:r w:rsidRPr="00A16D93">
        <w:rPr>
          <w:i/>
          <w:sz w:val="24"/>
          <w:szCs w:val="24"/>
          <w:lang w:val="sr-Latn-RS"/>
        </w:rPr>
        <w:t>&gt;</w:t>
      </w:r>
      <w:r w:rsidRPr="00A16D93">
        <w:rPr>
          <w:i/>
          <w:sz w:val="24"/>
          <w:szCs w:val="24"/>
          <w:highlight w:val="yellow"/>
          <w:lang w:val="sr-Latn-RS"/>
        </w:rPr>
        <w:t xml:space="preserve"> </w:t>
      </w:r>
    </w:p>
    <w:p w:rsidR="00130765" w:rsidRPr="00A16D93" w:rsidRDefault="00130765" w:rsidP="00B7782D">
      <w:pPr>
        <w:jc w:val="both"/>
        <w:rPr>
          <w:sz w:val="24"/>
          <w:szCs w:val="24"/>
          <w:highlight w:val="yellow"/>
          <w:lang w:val="sr-Latn-RS"/>
        </w:rPr>
      </w:pPr>
      <w:r w:rsidRPr="00A16D93">
        <w:rPr>
          <w:i/>
          <w:sz w:val="24"/>
          <w:szCs w:val="24"/>
          <w:lang w:val="sr-Latn-RS"/>
        </w:rPr>
        <w:t>&lt;</w:t>
      </w:r>
      <w:r w:rsidRPr="00A16D93">
        <w:rPr>
          <w:i/>
          <w:sz w:val="24"/>
          <w:szCs w:val="24"/>
          <w:highlight w:val="yellow"/>
          <w:lang w:val="sr-Latn-RS"/>
        </w:rPr>
        <w:t>Adresa naručioca</w:t>
      </w:r>
      <w:r w:rsidRPr="00A16D93">
        <w:rPr>
          <w:sz w:val="24"/>
          <w:szCs w:val="24"/>
          <w:highlight w:val="yellow"/>
          <w:lang w:val="sr-Latn-RS"/>
        </w:rPr>
        <w:t xml:space="preserve"> </w:t>
      </w:r>
      <w:r w:rsidRPr="00A16D93">
        <w:rPr>
          <w:sz w:val="24"/>
          <w:szCs w:val="24"/>
          <w:lang w:val="sr-Latn-RS"/>
        </w:rPr>
        <w:t>&gt;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 (Naručilac)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I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i/>
          <w:sz w:val="24"/>
          <w:szCs w:val="24"/>
          <w:highlight w:val="yellow"/>
          <w:lang w:val="sr-Latn-RS"/>
        </w:rPr>
      </w:pPr>
      <w:r w:rsidRPr="00A16D93">
        <w:rPr>
          <w:sz w:val="24"/>
          <w:szCs w:val="24"/>
          <w:lang w:val="sr-Latn-RS"/>
        </w:rPr>
        <w:t>&lt;</w:t>
      </w:r>
      <w:r w:rsidRPr="00A16D93">
        <w:rPr>
          <w:i/>
          <w:sz w:val="24"/>
          <w:szCs w:val="24"/>
          <w:highlight w:val="yellow"/>
          <w:lang w:val="sr-Latn-RS"/>
        </w:rPr>
        <w:t>Poslovno ime</w:t>
      </w:r>
      <w:r w:rsidRPr="00A16D93">
        <w:rPr>
          <w:i/>
          <w:sz w:val="24"/>
          <w:szCs w:val="24"/>
          <w:lang w:val="sr-Latn-RS"/>
        </w:rPr>
        <w:t>&gt;</w:t>
      </w:r>
    </w:p>
    <w:p w:rsidR="00130765" w:rsidRPr="00A16D93" w:rsidRDefault="00130765" w:rsidP="00B7782D">
      <w:pPr>
        <w:jc w:val="both"/>
        <w:rPr>
          <w:i/>
          <w:sz w:val="24"/>
          <w:szCs w:val="24"/>
          <w:highlight w:val="yellow"/>
          <w:lang w:val="sr-Latn-RS"/>
        </w:rPr>
      </w:pPr>
      <w:r w:rsidRPr="00A16D93">
        <w:rPr>
          <w:i/>
          <w:sz w:val="24"/>
          <w:szCs w:val="24"/>
          <w:lang w:val="sr-Latn-RS"/>
        </w:rPr>
        <w:t>&lt;</w:t>
      </w:r>
      <w:r w:rsidRPr="00A16D93">
        <w:rPr>
          <w:i/>
          <w:sz w:val="24"/>
          <w:szCs w:val="24"/>
          <w:highlight w:val="yellow"/>
          <w:lang w:val="sr-Latn-RS"/>
        </w:rPr>
        <w:t>Adresa izvršioca</w:t>
      </w:r>
      <w:r w:rsidRPr="00A16D93">
        <w:rPr>
          <w:i/>
          <w:sz w:val="24"/>
          <w:szCs w:val="24"/>
          <w:lang w:val="sr-Latn-RS"/>
        </w:rPr>
        <w:t>&gt;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i/>
          <w:sz w:val="24"/>
          <w:szCs w:val="24"/>
          <w:lang w:val="sr-Latn-RS"/>
        </w:rPr>
        <w:t>&lt;</w:t>
      </w:r>
      <w:r w:rsidRPr="00A16D93">
        <w:rPr>
          <w:i/>
          <w:sz w:val="24"/>
          <w:szCs w:val="24"/>
          <w:highlight w:val="yellow"/>
          <w:lang w:val="sr-Latn-RS" w:eastAsia="en-GB"/>
        </w:rPr>
        <w:t>Matični broj/PIB broj</w:t>
      </w:r>
      <w:r w:rsidRPr="00A16D93">
        <w:rPr>
          <w:i/>
          <w:position w:val="6"/>
          <w:sz w:val="24"/>
          <w:szCs w:val="24"/>
          <w:highlight w:val="yellow"/>
          <w:lang w:val="sr-Latn-RS" w:eastAsia="en-GB"/>
        </w:rPr>
        <w:footnoteReference w:id="1"/>
      </w:r>
      <w:r w:rsidRPr="00A16D93">
        <w:rPr>
          <w:i/>
          <w:sz w:val="24"/>
          <w:szCs w:val="24"/>
          <w:highlight w:val="yellow"/>
          <w:lang w:val="sr-Latn-RS"/>
        </w:rPr>
        <w:t>&gt;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 (Izvršilac)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Član 1: Predmet Ugovora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Predmet Ugovora je &lt;</w:t>
      </w:r>
      <w:r w:rsidRPr="00A16D93">
        <w:rPr>
          <w:i/>
          <w:sz w:val="24"/>
          <w:szCs w:val="24"/>
          <w:highlight w:val="yellow"/>
          <w:lang w:val="sr-Latn-RS"/>
        </w:rPr>
        <w:t>usluga</w:t>
      </w:r>
      <w:r w:rsidRPr="00A16D93">
        <w:rPr>
          <w:sz w:val="24"/>
          <w:szCs w:val="24"/>
          <w:lang w:val="sr-Latn-RS"/>
        </w:rPr>
        <w:t>&gt; kao što je i navedeno u ponudi izvršioca – ‘’Deo B: Format ponude koji popunjava ponuđač’’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Član 2: Vrednost Ugovora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Ukupna vrednost Ugovora za pružanje usluga iz Člana 1 je: &lt;</w:t>
      </w:r>
      <w:r w:rsidRPr="00A16D93">
        <w:rPr>
          <w:sz w:val="24"/>
          <w:szCs w:val="24"/>
          <w:highlight w:val="yellow"/>
          <w:lang w:val="sr-Latn-RS"/>
        </w:rPr>
        <w:t>XXX EUR/RSD</w:t>
      </w:r>
      <w:r w:rsidRPr="00A16D93">
        <w:rPr>
          <w:sz w:val="24"/>
          <w:szCs w:val="24"/>
          <w:lang w:val="sr-Latn-RS"/>
        </w:rPr>
        <w:t xml:space="preserve">&gt; </w:t>
      </w:r>
      <w:r w:rsidRPr="00A16D93">
        <w:rPr>
          <w:sz w:val="24"/>
          <w:szCs w:val="24"/>
          <w:highlight w:val="yellow"/>
          <w:lang w:val="sr-Latn-RS"/>
        </w:rPr>
        <w:t>uključujući/isključujući</w:t>
      </w:r>
      <w:r w:rsidRPr="00A16D93">
        <w:rPr>
          <w:sz w:val="24"/>
          <w:szCs w:val="24"/>
          <w:lang w:val="sr-Latn-RS"/>
        </w:rPr>
        <w:t xml:space="preserve"> PDV.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Za sve partnere:</w:t>
      </w:r>
    </w:p>
    <w:p w:rsidR="00130765" w:rsidRPr="00A16D93" w:rsidRDefault="00130765" w:rsidP="00B7782D">
      <w:pPr>
        <w:jc w:val="both"/>
        <w:rPr>
          <w:bCs/>
          <w:sz w:val="24"/>
          <w:szCs w:val="24"/>
          <w:lang w:val="sr-Latn-RS"/>
        </w:rPr>
      </w:pPr>
      <w:r w:rsidRPr="00A16D93">
        <w:rPr>
          <w:bCs/>
          <w:sz w:val="24"/>
          <w:szCs w:val="24"/>
          <w:lang w:val="sr-Latn-RS"/>
        </w:rPr>
        <w:t xml:space="preserve">U skladu sa IPA implementacionom regulativom, za sve partnere PDV može biti prihvatljiv trošak. Naručilac će platiti jedinične cene, kako je navedeno u finansijskoj ponudi kao i PDV ukoliko je isti prihvatljiv i jasno naveden na računu. </w:t>
      </w:r>
    </w:p>
    <w:p w:rsidR="00130765" w:rsidRPr="00A16D93" w:rsidRDefault="00130765" w:rsidP="00B7782D">
      <w:pPr>
        <w:jc w:val="both"/>
        <w:rPr>
          <w:bCs/>
          <w:sz w:val="24"/>
          <w:szCs w:val="24"/>
          <w:lang w:val="sr-Latn-RS"/>
        </w:rPr>
      </w:pPr>
      <w:r w:rsidRPr="00A16D93">
        <w:rPr>
          <w:bCs/>
          <w:sz w:val="24"/>
          <w:szCs w:val="24"/>
          <w:lang w:val="sr-Latn-RS"/>
        </w:rPr>
        <w:t xml:space="preserve">Za ovaj ugovor PDV je </w:t>
      </w:r>
      <w:r w:rsidRPr="00A16D93">
        <w:rPr>
          <w:sz w:val="24"/>
          <w:szCs w:val="24"/>
          <w:lang w:val="sr-Latn-RS"/>
        </w:rPr>
        <w:t>[</w:t>
      </w:r>
      <w:r w:rsidRPr="00A16D93">
        <w:rPr>
          <w:bCs/>
          <w:sz w:val="24"/>
          <w:szCs w:val="24"/>
          <w:highlight w:val="yellow"/>
          <w:lang w:val="sr-Latn-RS"/>
        </w:rPr>
        <w:t>prihvatljiv / neprihvatljiv]</w:t>
      </w:r>
      <w:r w:rsidRPr="00A16D93">
        <w:rPr>
          <w:bCs/>
          <w:sz w:val="24"/>
          <w:szCs w:val="24"/>
          <w:lang w:val="sr-Latn-RS"/>
        </w:rPr>
        <w:t xml:space="preserve"> trošak.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Član 3: Ugovorna dokumentacija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Dokumenta koja čine deo ovog ugovora su (po prioritetu):</w:t>
      </w:r>
    </w:p>
    <w:p w:rsidR="00130765" w:rsidRPr="00A16D93" w:rsidRDefault="00130765" w:rsidP="00B7782D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Ugovor</w:t>
      </w:r>
    </w:p>
    <w:p w:rsidR="00130765" w:rsidRPr="00A16D93" w:rsidRDefault="00130765" w:rsidP="00B7782D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Ponuda izvršioca koja je obezbeđena u tenderskoj fazi – ‘’Deo B: Format ponude koji popunjava ponuđač ’’</w:t>
      </w:r>
    </w:p>
    <w:p w:rsidR="00130765" w:rsidRPr="00A16D93" w:rsidRDefault="00130765" w:rsidP="00B7782D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Finansijska ponuda izvršioca –“ Deo C: Format finansijske ponude”</w:t>
      </w:r>
    </w:p>
    <w:p w:rsidR="00130765" w:rsidRPr="00A16D93" w:rsidRDefault="00130765" w:rsidP="00B7782D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0"/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Sva druga prateća dokumentacija ukoliko je tražena (* - u slučaju zahteva za dostavom izvoda iz APR-a ili drugih informacija) 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Za sva pitanja koja nisu definisana ovim Ugovorom biće primenjena pravila predviđena </w:t>
      </w:r>
      <w:r w:rsidRPr="00A16D93">
        <w:rPr>
          <w:sz w:val="24"/>
          <w:szCs w:val="24"/>
          <w:lang w:val="sr-Latn-RS"/>
        </w:rPr>
        <w:lastRenderedPageBreak/>
        <w:t xml:space="preserve">Opštim uslovima (General conditions) </w:t>
      </w:r>
    </w:p>
    <w:tbl>
      <w:tblPr>
        <w:tblW w:w="0" w:type="auto"/>
        <w:tblInd w:w="15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8F8F8"/>
        <w:tblLayout w:type="fixed"/>
        <w:tblLook w:val="04A0" w:firstRow="1" w:lastRow="0" w:firstColumn="1" w:lastColumn="0" w:noHBand="0" w:noVBand="1"/>
      </w:tblPr>
      <w:tblGrid>
        <w:gridCol w:w="720"/>
        <w:gridCol w:w="1530"/>
        <w:gridCol w:w="6926"/>
      </w:tblGrid>
      <w:tr w:rsidR="00130765" w:rsidRPr="00A16D93" w:rsidTr="00EE021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30765" w:rsidRPr="00A16D93" w:rsidRDefault="00130765" w:rsidP="00B7782D">
            <w:pPr>
              <w:jc w:val="both"/>
              <w:rPr>
                <w:sz w:val="24"/>
                <w:szCs w:val="24"/>
                <w:lang w:val="sr-Latn-RS"/>
              </w:rPr>
            </w:pPr>
            <w:r w:rsidRPr="00A16D93">
              <w:rPr>
                <w:sz w:val="24"/>
                <w:szCs w:val="24"/>
                <w:lang w:val="sr-Latn-RS"/>
              </w:rPr>
              <w:t>B8d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30765" w:rsidRPr="00A16D93" w:rsidRDefault="00130765" w:rsidP="00B7782D">
            <w:pPr>
              <w:jc w:val="both"/>
              <w:rPr>
                <w:sz w:val="24"/>
                <w:szCs w:val="24"/>
                <w:lang w:val="sr-Latn-RS"/>
              </w:rPr>
            </w:pPr>
            <w:r w:rsidRPr="00A16D93">
              <w:rPr>
                <w:sz w:val="24"/>
                <w:szCs w:val="24"/>
                <w:lang w:val="sr-Latn-RS"/>
              </w:rPr>
              <w:t>Nacrt Ugovora: Opšti uslovi</w:t>
            </w:r>
          </w:p>
        </w:tc>
        <w:tc>
          <w:tcPr>
            <w:tcW w:w="6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30765" w:rsidRPr="00A16D93" w:rsidRDefault="00427368" w:rsidP="00B7782D">
            <w:pPr>
              <w:jc w:val="both"/>
              <w:rPr>
                <w:sz w:val="24"/>
                <w:szCs w:val="24"/>
                <w:lang w:val="sr-Latn-RS"/>
              </w:rPr>
            </w:pPr>
            <w:hyperlink r:id="rId8" w:history="1">
              <w:r w:rsidR="00130765" w:rsidRPr="00A16D93">
                <w:rPr>
                  <w:rStyle w:val="Hyperlink"/>
                  <w:sz w:val="24"/>
                  <w:szCs w:val="24"/>
                  <w:lang w:val="sr-Latn-RS"/>
                </w:rPr>
                <w:t>https://wikis.ec.europa.eu/download/attachments/44168995/b8d_annexigc_en.pdf</w:t>
              </w:r>
            </w:hyperlink>
          </w:p>
        </w:tc>
      </w:tr>
    </w:tbl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427368" w:rsidP="00B7782D">
      <w:pPr>
        <w:jc w:val="both"/>
        <w:rPr>
          <w:sz w:val="24"/>
          <w:szCs w:val="24"/>
          <w:lang w:val="sr-Latn-RS"/>
        </w:rPr>
      </w:pPr>
      <w:hyperlink r:id="rId9" w:anchor="Annexes-AnnexesB(Ch.3):Servicecontracts" w:history="1">
        <w:r w:rsidR="00130765" w:rsidRPr="00A16D93">
          <w:rPr>
            <w:rStyle w:val="Hyperlink"/>
            <w:sz w:val="24"/>
            <w:szCs w:val="24"/>
            <w:lang w:val="sr-Latn-RS"/>
          </w:rPr>
          <w:t>https://wikis.ec.europa.eu/display/ExactExternalWiki/Annexes#Annexes-AnnexesB(Ch.3):Servicecontracts</w:t>
        </w:r>
      </w:hyperlink>
      <w:r w:rsidR="00130765" w:rsidRPr="00A16D93">
        <w:rPr>
          <w:sz w:val="24"/>
          <w:szCs w:val="24"/>
          <w:lang w:val="sr-Latn-RS"/>
        </w:rPr>
        <w:t xml:space="preserve">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Član 4: Pružanje usluga i plaćanja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Izvršilac će bezrezervno pružiti usluge kao što je i navedeno u ponudi izvršioca ‘’Deo B: Format ponude koju popunjava ponuđač’’. Pružanje usluga će biti implementirano u okviru navedenih datuma.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Naručilac će platiti izvršiocu usluge u iznosu koji je naveden u Članu 2 ovog Ugovora.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U slučaju da je Ugovor zaključen u EUR, a plaćanja u RSD, kurs koji se primenjuje mora biti InforEuro kurs za mesec izdavanja fakture ili profakture u slučaju oslobađanja od PDV-a.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Plaćanja će biti izvršena prema sledećem vremenskom rasporedu.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lang w:val="sr-Latn-RS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130765" w:rsidRPr="00A16D93" w:rsidTr="00EE0213">
        <w:trPr>
          <w:cantSplit/>
          <w:trHeight w:val="345"/>
        </w:trPr>
        <w:tc>
          <w:tcPr>
            <w:tcW w:w="1728" w:type="dxa"/>
          </w:tcPr>
          <w:p w:rsidR="00130765" w:rsidRPr="00A16D93" w:rsidRDefault="00130765" w:rsidP="00B7782D">
            <w:pPr>
              <w:keepNext/>
              <w:spacing w:before="40" w:after="40"/>
              <w:jc w:val="center"/>
              <w:rPr>
                <w:b/>
                <w:lang w:val="sr-Latn-RS"/>
              </w:rPr>
            </w:pPr>
            <w:r w:rsidRPr="00A16D93">
              <w:rPr>
                <w:b/>
                <w:highlight w:val="yellow"/>
                <w:lang w:val="sr-Latn-RS"/>
              </w:rPr>
              <w:t>Dan/Mesec</w:t>
            </w:r>
          </w:p>
        </w:tc>
        <w:tc>
          <w:tcPr>
            <w:tcW w:w="4509" w:type="dxa"/>
          </w:tcPr>
          <w:p w:rsidR="00130765" w:rsidRPr="00A16D93" w:rsidRDefault="00130765" w:rsidP="00B7782D">
            <w:pPr>
              <w:keepNext/>
              <w:spacing w:before="40" w:after="40"/>
              <w:rPr>
                <w:b/>
                <w:lang w:val="sr-Latn-RS"/>
              </w:rPr>
            </w:pPr>
          </w:p>
        </w:tc>
        <w:tc>
          <w:tcPr>
            <w:tcW w:w="2781" w:type="dxa"/>
          </w:tcPr>
          <w:p w:rsidR="00130765" w:rsidRPr="00A16D93" w:rsidRDefault="00130765" w:rsidP="00B7782D">
            <w:pPr>
              <w:keepNext/>
              <w:spacing w:before="40" w:after="40"/>
              <w:jc w:val="center"/>
              <w:rPr>
                <w:b/>
                <w:lang w:val="sr-Latn-RS"/>
              </w:rPr>
            </w:pPr>
            <w:r w:rsidRPr="00A16D93">
              <w:rPr>
                <w:b/>
                <w:lang w:val="sr-Latn-RS"/>
              </w:rPr>
              <w:t>&lt;</w:t>
            </w:r>
            <w:r w:rsidRPr="00A16D93">
              <w:rPr>
                <w:b/>
                <w:highlight w:val="yellow"/>
                <w:lang w:val="sr-Latn-RS"/>
              </w:rPr>
              <w:t>EUR/RSD</w:t>
            </w:r>
            <w:r w:rsidRPr="00A16D93">
              <w:rPr>
                <w:b/>
                <w:lang w:val="sr-Latn-RS"/>
              </w:rPr>
              <w:t>&gt;</w:t>
            </w:r>
          </w:p>
        </w:tc>
      </w:tr>
      <w:tr w:rsidR="00130765" w:rsidRPr="00A16D93" w:rsidTr="00EE0213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:rsidR="00130765" w:rsidRPr="00A16D93" w:rsidRDefault="00345B43" w:rsidP="00B7782D">
            <w:pPr>
              <w:spacing w:before="40" w:after="40"/>
              <w:jc w:val="center"/>
              <w:rPr>
                <w:highlight w:val="yellow"/>
                <w:lang w:val="sr-Latn-RS"/>
              </w:rPr>
            </w:pPr>
            <w:r>
              <w:rPr>
                <w:highlight w:val="yellow"/>
                <w:lang w:val="sr-Latn-RS"/>
              </w:rPr>
              <w:t>Decembar 2024</w:t>
            </w:r>
          </w:p>
        </w:tc>
        <w:tc>
          <w:tcPr>
            <w:tcW w:w="4509" w:type="dxa"/>
            <w:tcBorders>
              <w:bottom w:val="nil"/>
            </w:tcBorders>
          </w:tcPr>
          <w:p w:rsidR="00130765" w:rsidRPr="00A16D93" w:rsidRDefault="00130765" w:rsidP="00B7782D">
            <w:pPr>
              <w:rPr>
                <w:lang w:val="sr-Latn-RS"/>
              </w:rPr>
            </w:pPr>
            <w:r w:rsidRPr="00A16D93">
              <w:rPr>
                <w:lang w:val="sr-Latn-RS"/>
              </w:rPr>
              <w:t>Privremena plaćanja (*ako je primenljivo)</w:t>
            </w:r>
          </w:p>
          <w:p w:rsidR="00130765" w:rsidRPr="00A16D93" w:rsidRDefault="00130765" w:rsidP="00B7782D">
            <w:pPr>
              <w:spacing w:before="40" w:after="40"/>
              <w:rPr>
                <w:lang w:val="sr-Latn-RS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130765" w:rsidRPr="00A16D93" w:rsidRDefault="00345B43" w:rsidP="00B7782D">
            <w:pPr>
              <w:jc w:val="center"/>
              <w:rPr>
                <w:highlight w:val="yellow"/>
                <w:lang w:val="sr-Latn-RS"/>
              </w:rPr>
            </w:pPr>
            <w:r>
              <w:rPr>
                <w:highlight w:val="yellow"/>
                <w:lang w:val="sr-Latn-RS"/>
              </w:rPr>
              <w:t>Okvirno 3500e</w:t>
            </w:r>
          </w:p>
        </w:tc>
      </w:tr>
      <w:tr w:rsidR="00130765" w:rsidRPr="00A16D93" w:rsidTr="00EE0213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130765" w:rsidRPr="00A16D93" w:rsidRDefault="00345B43" w:rsidP="00B7782D">
            <w:pPr>
              <w:spacing w:before="40" w:after="40"/>
              <w:jc w:val="center"/>
              <w:rPr>
                <w:highlight w:val="yellow"/>
                <w:lang w:val="sr-Latn-RS"/>
              </w:rPr>
            </w:pPr>
            <w:r>
              <w:rPr>
                <w:highlight w:val="yellow"/>
                <w:lang w:val="sr-Latn-RS"/>
              </w:rPr>
              <w:t>Maj 2025</w:t>
            </w:r>
          </w:p>
        </w:tc>
        <w:tc>
          <w:tcPr>
            <w:tcW w:w="4509" w:type="dxa"/>
            <w:tcBorders>
              <w:bottom w:val="nil"/>
            </w:tcBorders>
          </w:tcPr>
          <w:p w:rsidR="00130765" w:rsidRPr="00A16D93" w:rsidRDefault="00130765" w:rsidP="00B7782D">
            <w:pPr>
              <w:spacing w:before="40" w:after="40"/>
              <w:rPr>
                <w:lang w:val="sr-Latn-RS"/>
              </w:rPr>
            </w:pPr>
            <w:r w:rsidRPr="00A16D93">
              <w:rPr>
                <w:lang w:val="sr-Latn-RS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130765" w:rsidRPr="00A16D93" w:rsidRDefault="00345B43" w:rsidP="00B7782D">
            <w:pPr>
              <w:jc w:val="center"/>
              <w:rPr>
                <w:highlight w:val="yellow"/>
                <w:lang w:val="sr-Latn-RS"/>
              </w:rPr>
            </w:pPr>
            <w:r>
              <w:rPr>
                <w:highlight w:val="yellow"/>
                <w:lang w:val="sr-Latn-RS"/>
              </w:rPr>
              <w:t>Okvirno 3500e</w:t>
            </w:r>
          </w:p>
        </w:tc>
      </w:tr>
      <w:tr w:rsidR="00130765" w:rsidRPr="00A16D93" w:rsidTr="00EE0213">
        <w:trPr>
          <w:cantSplit/>
          <w:trHeight w:val="398"/>
        </w:trPr>
        <w:tc>
          <w:tcPr>
            <w:tcW w:w="1728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130765" w:rsidRPr="00A16D93" w:rsidRDefault="00130765" w:rsidP="00B7782D">
            <w:pPr>
              <w:spacing w:before="40" w:after="40"/>
              <w:jc w:val="center"/>
              <w:rPr>
                <w:b/>
                <w:lang w:val="sr-Latn-RS"/>
              </w:rPr>
            </w:pPr>
          </w:p>
        </w:tc>
        <w:tc>
          <w:tcPr>
            <w:tcW w:w="4509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130765" w:rsidRPr="00A16D93" w:rsidRDefault="00130765" w:rsidP="00B7782D">
            <w:pPr>
              <w:spacing w:before="40" w:after="40"/>
              <w:rPr>
                <w:b/>
                <w:lang w:val="sr-Latn-RS"/>
              </w:rPr>
            </w:pPr>
            <w:r w:rsidRPr="00A16D93">
              <w:rPr>
                <w:b/>
                <w:lang w:val="sr-Latn-RS"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130765" w:rsidRPr="00A16D93" w:rsidRDefault="00345B43" w:rsidP="00B7782D">
            <w:pPr>
              <w:jc w:val="center"/>
              <w:rPr>
                <w:lang w:val="sr-Latn-RS"/>
              </w:rPr>
            </w:pPr>
            <w:r w:rsidRPr="00345B43">
              <w:rPr>
                <w:highlight w:val="yellow"/>
                <w:lang w:val="sr-Latn-RS"/>
              </w:rPr>
              <w:t>Max vrednost 7000e</w:t>
            </w:r>
          </w:p>
        </w:tc>
      </w:tr>
    </w:tbl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* - Izvršilac će dostaviti naručiocu kratak izveštaj o izvršenim uslugama, što će predstavljati osnovu za odobrenje privremenih i konačnih isplata.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>Član 5: Trajanje Ugovora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Trajanje Ugovora je &lt;</w:t>
      </w:r>
      <w:r w:rsidRPr="00A16D93">
        <w:rPr>
          <w:sz w:val="24"/>
          <w:szCs w:val="24"/>
          <w:highlight w:val="yellow"/>
          <w:lang w:val="sr-Latn-RS"/>
        </w:rPr>
        <w:t>XX dana/meseci</w:t>
      </w:r>
      <w:r w:rsidRPr="00A16D93">
        <w:rPr>
          <w:sz w:val="24"/>
          <w:szCs w:val="24"/>
          <w:lang w:val="sr-Latn-RS"/>
        </w:rPr>
        <w:t xml:space="preserve">&gt;. </w:t>
      </w:r>
    </w:p>
    <w:p w:rsidR="00130765" w:rsidRPr="00A16D93" w:rsidRDefault="00130765" w:rsidP="00B7782D">
      <w:pPr>
        <w:jc w:val="both"/>
        <w:rPr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>Datum početka Ugovora je &lt;</w:t>
      </w:r>
      <w:r w:rsidRPr="00A16D93">
        <w:rPr>
          <w:sz w:val="24"/>
          <w:szCs w:val="24"/>
          <w:highlight w:val="yellow"/>
          <w:lang w:val="sr-Latn-RS"/>
        </w:rPr>
        <w:t>dd/mm/gggg</w:t>
      </w:r>
      <w:r w:rsidRPr="00A16D93">
        <w:rPr>
          <w:sz w:val="24"/>
          <w:szCs w:val="24"/>
          <w:lang w:val="sr-Latn-RS"/>
        </w:rPr>
        <w:t>&gt;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b/>
          <w:sz w:val="24"/>
          <w:szCs w:val="24"/>
          <w:lang w:val="sr-Latn-RS"/>
        </w:rPr>
        <w:t xml:space="preserve">Član 6: Rešavanje sporova 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  <w:r w:rsidRPr="00A16D93">
        <w:rPr>
          <w:sz w:val="24"/>
          <w:szCs w:val="24"/>
          <w:lang w:val="sr-Latn-RS"/>
        </w:rPr>
        <w:t xml:space="preserve">Bilo kakvi sporovi koji proizilaze ili su vezani za ovaj Ugovor koji se ne mogu drugačije rešiti će biti upućeni na isključivu nadležnost (* </w:t>
      </w:r>
      <w:r w:rsidRPr="00A16D93">
        <w:rPr>
          <w:sz w:val="24"/>
          <w:szCs w:val="24"/>
          <w:highlight w:val="yellow"/>
          <w:lang w:val="sr-Latn-RS"/>
        </w:rPr>
        <w:t>- navesti nadležni sud ili arbitarno telo</w:t>
      </w:r>
      <w:r w:rsidRPr="00A16D93">
        <w:rPr>
          <w:sz w:val="24"/>
          <w:szCs w:val="24"/>
          <w:lang w:val="sr-Latn-RS"/>
        </w:rPr>
        <w:t xml:space="preserve">) u saglasnosti sa nacionalnim zakonodavstvom države naručioca. </w:t>
      </w:r>
    </w:p>
    <w:p w:rsidR="00130765" w:rsidRPr="00A16D93" w:rsidRDefault="00130765" w:rsidP="00B7782D">
      <w:pPr>
        <w:jc w:val="both"/>
        <w:rPr>
          <w:b/>
          <w:sz w:val="24"/>
          <w:szCs w:val="24"/>
          <w:lang w:val="sr-Latn-RS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130765" w:rsidRPr="00A16D93" w:rsidTr="00EE0213">
        <w:tc>
          <w:tcPr>
            <w:tcW w:w="4750" w:type="dxa"/>
            <w:gridSpan w:val="2"/>
          </w:tcPr>
          <w:p w:rsidR="00130765" w:rsidRPr="00B7782D" w:rsidRDefault="00130765" w:rsidP="00B7782D">
            <w:pPr>
              <w:pStyle w:val="BodyText"/>
              <w:keepNext/>
              <w:keepLines/>
              <w:rPr>
                <w:b/>
                <w:sz w:val="20"/>
                <w:szCs w:val="24"/>
                <w:lang w:val="sr-Latn-RS"/>
              </w:rPr>
            </w:pPr>
            <w:r w:rsidRPr="00B7782D">
              <w:rPr>
                <w:b/>
                <w:sz w:val="20"/>
                <w:szCs w:val="24"/>
                <w:lang w:val="sr-Latn-RS"/>
              </w:rPr>
              <w:lastRenderedPageBreak/>
              <w:t>Za izvršioca</w:t>
            </w:r>
          </w:p>
        </w:tc>
        <w:tc>
          <w:tcPr>
            <w:tcW w:w="4340" w:type="dxa"/>
            <w:gridSpan w:val="2"/>
          </w:tcPr>
          <w:p w:rsidR="00130765" w:rsidRPr="00B7782D" w:rsidRDefault="00130765" w:rsidP="00B7782D">
            <w:pPr>
              <w:pStyle w:val="BodyText"/>
              <w:keepNext/>
              <w:keepLines/>
              <w:rPr>
                <w:b/>
                <w:sz w:val="20"/>
                <w:szCs w:val="24"/>
                <w:lang w:val="sr-Latn-RS"/>
              </w:rPr>
            </w:pPr>
            <w:r w:rsidRPr="00B7782D">
              <w:rPr>
                <w:b/>
                <w:sz w:val="20"/>
                <w:szCs w:val="24"/>
                <w:lang w:val="sr-Latn-RS"/>
              </w:rPr>
              <w:t>Za naručioca</w:t>
            </w:r>
          </w:p>
        </w:tc>
      </w:tr>
      <w:tr w:rsidR="00130765" w:rsidRPr="00A16D93" w:rsidTr="00EE0213">
        <w:trPr>
          <w:cantSplit/>
        </w:trPr>
        <w:tc>
          <w:tcPr>
            <w:tcW w:w="149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Ime:</w:t>
            </w:r>
          </w:p>
        </w:tc>
        <w:tc>
          <w:tcPr>
            <w:tcW w:w="325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  <w:tc>
          <w:tcPr>
            <w:tcW w:w="232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Ime:</w:t>
            </w:r>
          </w:p>
        </w:tc>
        <w:tc>
          <w:tcPr>
            <w:tcW w:w="201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</w:tr>
      <w:tr w:rsidR="00130765" w:rsidRPr="00A16D93" w:rsidTr="00EE0213">
        <w:trPr>
          <w:cantSplit/>
        </w:trPr>
        <w:tc>
          <w:tcPr>
            <w:tcW w:w="149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highlight w:val="cyan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Zvanje:</w:t>
            </w:r>
          </w:p>
        </w:tc>
        <w:tc>
          <w:tcPr>
            <w:tcW w:w="325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highlight w:val="cyan"/>
                <w:lang w:val="sr-Latn-RS"/>
              </w:rPr>
            </w:pPr>
          </w:p>
        </w:tc>
        <w:tc>
          <w:tcPr>
            <w:tcW w:w="232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Zvanje:</w:t>
            </w:r>
          </w:p>
        </w:tc>
        <w:tc>
          <w:tcPr>
            <w:tcW w:w="201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</w:tr>
      <w:tr w:rsidR="00130765" w:rsidRPr="00A16D93" w:rsidTr="00EE0213">
        <w:trPr>
          <w:cantSplit/>
        </w:trPr>
        <w:tc>
          <w:tcPr>
            <w:tcW w:w="149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Potpis:</w:t>
            </w:r>
          </w:p>
        </w:tc>
        <w:tc>
          <w:tcPr>
            <w:tcW w:w="325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  <w:tc>
          <w:tcPr>
            <w:tcW w:w="232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Potpis:</w:t>
            </w:r>
          </w:p>
        </w:tc>
        <w:tc>
          <w:tcPr>
            <w:tcW w:w="201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</w:tr>
      <w:tr w:rsidR="00130765" w:rsidRPr="00A16D93" w:rsidTr="00EE0213">
        <w:trPr>
          <w:cantSplit/>
        </w:trPr>
        <w:tc>
          <w:tcPr>
            <w:tcW w:w="149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Datum:</w:t>
            </w:r>
          </w:p>
        </w:tc>
        <w:tc>
          <w:tcPr>
            <w:tcW w:w="325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  <w:tc>
          <w:tcPr>
            <w:tcW w:w="2321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  <w:r w:rsidRPr="00B7782D">
              <w:rPr>
                <w:sz w:val="20"/>
                <w:szCs w:val="24"/>
                <w:lang w:val="sr-Latn-RS"/>
              </w:rPr>
              <w:t>Datum:</w:t>
            </w:r>
          </w:p>
        </w:tc>
        <w:tc>
          <w:tcPr>
            <w:tcW w:w="2019" w:type="dxa"/>
          </w:tcPr>
          <w:p w:rsidR="00130765" w:rsidRPr="00B7782D" w:rsidRDefault="00130765" w:rsidP="00B7782D">
            <w:pPr>
              <w:pStyle w:val="BodyText"/>
              <w:keepNext/>
              <w:keepLines/>
              <w:spacing w:before="160" w:after="160"/>
              <w:rPr>
                <w:sz w:val="20"/>
                <w:szCs w:val="24"/>
                <w:lang w:val="sr-Latn-RS"/>
              </w:rPr>
            </w:pPr>
          </w:p>
        </w:tc>
      </w:tr>
    </w:tbl>
    <w:p w:rsidR="00130765" w:rsidRPr="00A16D93" w:rsidRDefault="00130765" w:rsidP="00B7782D">
      <w:pPr>
        <w:jc w:val="both"/>
        <w:rPr>
          <w:b/>
          <w:lang w:val="sr-Latn-RS"/>
        </w:rPr>
      </w:pPr>
    </w:p>
    <w:p w:rsidR="00130765" w:rsidRPr="00A16D93" w:rsidRDefault="00130765" w:rsidP="00B7782D">
      <w:pPr>
        <w:jc w:val="both"/>
        <w:rPr>
          <w:b/>
          <w:lang w:val="sr-Latn-RS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rPr>
          <w:sz w:val="20"/>
        </w:rPr>
      </w:pPr>
    </w:p>
    <w:p w:rsidR="00DD1C45" w:rsidRDefault="00DD1C45" w:rsidP="00B7782D">
      <w:pPr>
        <w:pStyle w:val="BodyText"/>
        <w:spacing w:before="10"/>
        <w:rPr>
          <w:sz w:val="7"/>
        </w:rPr>
      </w:pPr>
    </w:p>
    <w:sectPr w:rsidR="00DD1C45" w:rsidSect="00130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40" w:h="1688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68" w:rsidRDefault="00427368" w:rsidP="00130765">
      <w:r>
        <w:separator/>
      </w:r>
    </w:p>
  </w:endnote>
  <w:endnote w:type="continuationSeparator" w:id="0">
    <w:p w:rsidR="00427368" w:rsidRDefault="00427368" w:rsidP="0013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35" w:rsidRDefault="007A0C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35" w:rsidRDefault="007A0C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35" w:rsidRDefault="007A0C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68" w:rsidRDefault="00427368" w:rsidP="00130765">
      <w:r>
        <w:separator/>
      </w:r>
    </w:p>
  </w:footnote>
  <w:footnote w:type="continuationSeparator" w:id="0">
    <w:p w:rsidR="00427368" w:rsidRDefault="00427368" w:rsidP="00130765">
      <w:r>
        <w:continuationSeparator/>
      </w:r>
    </w:p>
  </w:footnote>
  <w:footnote w:id="1">
    <w:p w:rsidR="00130765" w:rsidRPr="00956630" w:rsidRDefault="00130765" w:rsidP="00130765">
      <w:pPr>
        <w:pStyle w:val="FootnoteText"/>
        <w:spacing w:after="0"/>
        <w:ind w:left="142" w:hanging="142"/>
      </w:pPr>
      <w:r w:rsidRPr="00956630">
        <w:rPr>
          <w:rStyle w:val="FootnoteReference"/>
          <w:rFonts w:ascii="Times New Roman" w:hAnsi="Times New Roman"/>
        </w:rPr>
        <w:footnoteRef/>
      </w:r>
      <w:r w:rsidRPr="00956630">
        <w:tab/>
      </w:r>
      <w:r w:rsidRPr="00880775">
        <w:rPr>
          <w:rFonts w:ascii="Times New Roman" w:hAnsi="Times New Roman"/>
        </w:rPr>
        <w:t>Gde je primenljivo. Za fizička lica, navesti broj lične karte, pasoša ili broj sličnog 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35" w:rsidRDefault="007A0C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35" w:rsidRDefault="007A0C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35" w:rsidRDefault="007A0C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903"/>
    <w:multiLevelType w:val="hybridMultilevel"/>
    <w:tmpl w:val="BE38E5B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93D68"/>
    <w:multiLevelType w:val="hybridMultilevel"/>
    <w:tmpl w:val="3814D2D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4C65505"/>
    <w:multiLevelType w:val="hybridMultilevel"/>
    <w:tmpl w:val="AD5AE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E0B82"/>
    <w:multiLevelType w:val="hybridMultilevel"/>
    <w:tmpl w:val="F6C8EA3C"/>
    <w:lvl w:ilvl="0" w:tplc="5F6C1A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D1C45"/>
    <w:rsid w:val="00024E4E"/>
    <w:rsid w:val="00052C2C"/>
    <w:rsid w:val="0005782A"/>
    <w:rsid w:val="000A766A"/>
    <w:rsid w:val="000B6961"/>
    <w:rsid w:val="000F3D37"/>
    <w:rsid w:val="00130765"/>
    <w:rsid w:val="00186DB1"/>
    <w:rsid w:val="0022385A"/>
    <w:rsid w:val="00343D98"/>
    <w:rsid w:val="00345B43"/>
    <w:rsid w:val="00374FF5"/>
    <w:rsid w:val="003F129E"/>
    <w:rsid w:val="00427368"/>
    <w:rsid w:val="00472841"/>
    <w:rsid w:val="004E5FC2"/>
    <w:rsid w:val="0053747D"/>
    <w:rsid w:val="00541562"/>
    <w:rsid w:val="00591637"/>
    <w:rsid w:val="005B1719"/>
    <w:rsid w:val="0070117F"/>
    <w:rsid w:val="0070474A"/>
    <w:rsid w:val="00711669"/>
    <w:rsid w:val="00795D9A"/>
    <w:rsid w:val="007A0C35"/>
    <w:rsid w:val="007A3385"/>
    <w:rsid w:val="008F7E1F"/>
    <w:rsid w:val="0090488C"/>
    <w:rsid w:val="00934A15"/>
    <w:rsid w:val="009D1F9C"/>
    <w:rsid w:val="00A42561"/>
    <w:rsid w:val="00A6040E"/>
    <w:rsid w:val="00AD73EF"/>
    <w:rsid w:val="00AF3950"/>
    <w:rsid w:val="00AF6EBA"/>
    <w:rsid w:val="00B06C1A"/>
    <w:rsid w:val="00B7782D"/>
    <w:rsid w:val="00B87654"/>
    <w:rsid w:val="00BA63A1"/>
    <w:rsid w:val="00C25522"/>
    <w:rsid w:val="00C967CD"/>
    <w:rsid w:val="00D42A20"/>
    <w:rsid w:val="00D43681"/>
    <w:rsid w:val="00D65DBC"/>
    <w:rsid w:val="00D80B0D"/>
    <w:rsid w:val="00DD1C45"/>
    <w:rsid w:val="00ED5CED"/>
    <w:rsid w:val="00F4655E"/>
    <w:rsid w:val="00F55208"/>
    <w:rsid w:val="00FA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130765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8"/>
      <w:szCs w:val="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130765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styleId="FootnoteReference">
    <w:name w:val="footnote reference"/>
    <w:semiHidden/>
    <w:rsid w:val="0013076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0765"/>
    <w:pPr>
      <w:widowControl/>
      <w:autoSpaceDE/>
      <w:autoSpaceDN/>
      <w:spacing w:after="200" w:line="276" w:lineRule="auto"/>
    </w:pPr>
    <w:rPr>
      <w:rFonts w:ascii="Calibri" w:eastAsia="Calibri" w:hAnsi="Calibri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765"/>
    <w:rPr>
      <w:rFonts w:ascii="Calibri" w:eastAsia="Calibri" w:hAnsi="Calibri" w:cs="Times New Roman"/>
      <w:sz w:val="20"/>
      <w:szCs w:val="20"/>
      <w:lang w:val="sl-SI"/>
    </w:rPr>
  </w:style>
  <w:style w:type="character" w:styleId="Hyperlink">
    <w:name w:val="Hyperlink"/>
    <w:uiPriority w:val="99"/>
    <w:unhideWhenUsed/>
    <w:rsid w:val="001307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9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0C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C3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A0C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C3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130765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8"/>
      <w:szCs w:val="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130765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styleId="FootnoteReference">
    <w:name w:val="footnote reference"/>
    <w:semiHidden/>
    <w:rsid w:val="0013076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0765"/>
    <w:pPr>
      <w:widowControl/>
      <w:autoSpaceDE/>
      <w:autoSpaceDN/>
      <w:spacing w:after="200" w:line="276" w:lineRule="auto"/>
    </w:pPr>
    <w:rPr>
      <w:rFonts w:ascii="Calibri" w:eastAsia="Calibri" w:hAnsi="Calibri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765"/>
    <w:rPr>
      <w:rFonts w:ascii="Calibri" w:eastAsia="Calibri" w:hAnsi="Calibri" w:cs="Times New Roman"/>
      <w:sz w:val="20"/>
      <w:szCs w:val="20"/>
      <w:lang w:val="sl-SI"/>
    </w:rPr>
  </w:style>
  <w:style w:type="character" w:styleId="Hyperlink">
    <w:name w:val="Hyperlink"/>
    <w:uiPriority w:val="99"/>
    <w:unhideWhenUsed/>
    <w:rsid w:val="001307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9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0C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C3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A0C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C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ownload/attachments/44168995/b8d_annexigc_en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2024-10-22T06:52:00Z</dcterms:created>
  <dcterms:modified xsi:type="dcterms:W3CDTF">2024-10-22T07:00:00Z</dcterms:modified>
</cp:coreProperties>
</file>