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DAA" w:rsidRDefault="00E15DAA" w:rsidP="002E62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Style w:val="a"/>
        <w:tblW w:w="9000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E15DAA">
        <w:tc>
          <w:tcPr>
            <w:tcW w:w="9000" w:type="dxa"/>
            <w:shd w:val="clear" w:color="auto" w:fill="D3DFEE"/>
          </w:tcPr>
          <w:p w:rsidR="00E15DAA" w:rsidRDefault="005E0F3A" w:rsidP="002E62F0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DEO A: INFORMACIJE ZA PODNOSIOCA PONUDE </w:t>
            </w:r>
          </w:p>
        </w:tc>
      </w:tr>
    </w:tbl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tbl>
      <w:tblPr>
        <w:tblStyle w:val="a0"/>
        <w:tblW w:w="9000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E15DAA">
        <w:tc>
          <w:tcPr>
            <w:tcW w:w="9000" w:type="dxa"/>
            <w:shd w:val="clear" w:color="auto" w:fill="D3DFEE"/>
          </w:tcPr>
          <w:p w:rsidR="00E15DAA" w:rsidRDefault="005E0F3A" w:rsidP="002E62F0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 i adresa naručioca:  Ustanova za izradu tapiserija "Atelje 61", Petrovaradinska tvrđava 9, 21131 Petrovaradin</w:t>
            </w:r>
          </w:p>
          <w:p w:rsidR="00E15DAA" w:rsidRDefault="005E0F3A" w:rsidP="002E6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Naziv tendera: Nabavka usluge organizacije otvarajuće konferencije, usluge iznajmljivanja opreme i usluge prevođenja za potrebe projekta Umetničko carstvo bez granica kroz prilike i znanje (Borderless Artistic Realm Through Opportunities and Knowledge – BARTOK)</w:t>
            </w:r>
          </w:p>
          <w:p w:rsidR="00E15DAA" w:rsidRDefault="005E0F3A" w:rsidP="002E62F0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Referentni broj:  HUSRB/23R/22/060/4.3.1., 4.7.4. i  5.2.1.</w:t>
            </w:r>
          </w:p>
          <w:p w:rsidR="00E15DAA" w:rsidRDefault="005E0F3A" w:rsidP="002E62F0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Datum objavljivanja: 8/11/2024</w:t>
            </w:r>
          </w:p>
        </w:tc>
      </w:tr>
    </w:tbl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p w:rsidR="00E15DAA" w:rsidRDefault="005E0F3A" w:rsidP="002E62F0">
      <w:pPr>
        <w:numPr>
          <w:ilvl w:val="0"/>
          <w:numId w:val="3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INFORMACIJE O PODNOŠENJU PONUDA ZA TENDER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Predmet Ugovora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E15DAA" w:rsidRDefault="005E0F3A" w:rsidP="002E62F0">
      <w:pPr>
        <w:tabs>
          <w:tab w:val="left" w:pos="1275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Predmet ovog tendera je: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Nabavka usluge organizacije otvarajuće konferencije, usluge iznajmljivanja opreme i usluge prevođenja za potrebe projekta Umetničko carstvo bez granica kroz prilike i znanje (Borderless Artistic Realm Through Opportunities and Knowledge –BARTOK)</w:t>
      </w:r>
    </w:p>
    <w:p w:rsidR="00E15DAA" w:rsidRDefault="00E15DAA" w:rsidP="002E62F0">
      <w:pPr>
        <w:spacing w:after="0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Krajnji rok za podnošenje ponuda za tender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Krajnji rok za podnošenje ponuda za tender je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20/11/2024 u 12:00 časova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Sve ponude dobijene nakon ovog roka će automatski biti odbijene.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 - Ponuđač bi trebalo da ima minimum 7 dana od datuma objavljivanja javne nabavke za pripremu ponude (isključujući dan objave i datum krajnjeg roka za podnošenje ponude).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** - Naručilac je u obavezi da pruži odgovor na sva dobijena pitanja najkasnije u roku od 3 dana pre isteka roka kao i da ih objavi na istim web site-ovima na kojima je i sam tender objavljen.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Finansijske informacije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Podnosioci ponuda za tender se podsećaju da je maksimalna raspoloživa vrednost Ugovora </w:t>
      </w:r>
      <w:r w:rsidRPr="002E62F0">
        <w:rPr>
          <w:rFonts w:ascii="Times New Roman" w:eastAsia="Times New Roman" w:hAnsi="Times New Roman" w:cs="Times New Roman"/>
          <w:b/>
          <w:sz w:val="24"/>
          <w:szCs w:val="24"/>
        </w:rPr>
        <w:t>6.500 EUR uključujući i PDV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Finansijska ponuda mora biti prikazana u iznosu u EUR uključujući PDV i mora biti podneta na obrascu: DEO C: FORMAT FINANSIJSKE PONUDE. 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 ovaj ugovor PDV je prihvatljiv trošak.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Odredbe vezane za primenu odgovarajućih poreza i carina su navedene u nacrtu Ugovora, u Delu A ovog tenderskog dosijea. </w:t>
      </w:r>
    </w:p>
    <w:p w:rsidR="00E15DAA" w:rsidRDefault="005E0F3A" w:rsidP="002E62F0">
      <w:pPr>
        <w:keepNext/>
        <w:spacing w:before="120" w:after="12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Alternativna rešenja</w:t>
      </w:r>
    </w:p>
    <w:p w:rsidR="00E15DAA" w:rsidRDefault="005E0F3A" w:rsidP="002E62F0">
      <w:pPr>
        <w:spacing w:before="120" w:after="12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Ponuđačima nije dozvoljeno da koriste alternativna rešenja.</w:t>
      </w:r>
    </w:p>
    <w:p w:rsidR="00E15DAA" w:rsidRDefault="005E0F3A" w:rsidP="002E62F0">
      <w:pPr>
        <w:spacing w:before="120" w:after="120"/>
        <w:ind w:left="0" w:hanging="2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Podugovaranje</w:t>
      </w:r>
    </w:p>
    <w:p w:rsidR="00E15DAA" w:rsidRDefault="005E0F3A" w:rsidP="002E62F0">
      <w:pPr>
        <w:spacing w:before="120" w:after="12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Podugovaranje nije dozvoljeno.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Kriterijumi za dodelu Ugovora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U slučaju dobijanja više od jedne ponude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najbolji odnos cene i kvaliteta, ponderisanjem 80% kvalitet, cena 20%.  </w:t>
      </w:r>
    </w:p>
    <w:p w:rsidR="00E15DAA" w:rsidRDefault="00E15DAA" w:rsidP="002E62F0">
      <w:pPr>
        <w:tabs>
          <w:tab w:val="left" w:pos="417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15DAA" w:rsidRDefault="005E0F3A" w:rsidP="002E62F0">
      <w:pPr>
        <w:tabs>
          <w:tab w:val="left" w:pos="360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Kriterijumi za evaluaciju tehničke ponude:</w:t>
      </w:r>
    </w:p>
    <w:p w:rsidR="00E15DAA" w:rsidRDefault="005E0F3A" w:rsidP="002E62F0">
      <w:pPr>
        <w:numPr>
          <w:ilvl w:val="0"/>
          <w:numId w:val="1"/>
        </w:numPr>
        <w:tabs>
          <w:tab w:val="left" w:pos="45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Organizacija i metodologija: 60 poena</w:t>
      </w:r>
    </w:p>
    <w:p w:rsidR="00E15DAA" w:rsidRDefault="005E0F3A" w:rsidP="002E62F0">
      <w:pPr>
        <w:numPr>
          <w:ilvl w:val="0"/>
          <w:numId w:val="1"/>
        </w:numPr>
        <w:tabs>
          <w:tab w:val="left" w:pos="45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Predloženi inputi: 30 poena</w:t>
      </w:r>
    </w:p>
    <w:p w:rsidR="00E15DAA" w:rsidRDefault="005E0F3A" w:rsidP="002E62F0">
      <w:pPr>
        <w:numPr>
          <w:ilvl w:val="0"/>
          <w:numId w:val="1"/>
        </w:numPr>
        <w:tabs>
          <w:tab w:val="left" w:pos="45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Period izvršenja usluge: 10 poena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UKUPNO: 100 poena </w:t>
      </w:r>
    </w:p>
    <w:p w:rsidR="00E15DAA" w:rsidRDefault="005E0F3A" w:rsidP="002E62F0">
      <w:pPr>
        <w:tabs>
          <w:tab w:val="left" w:pos="366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U slučaju dobijanja jedne ponude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Naručilac će proveriti da li ponuda administrativno, tehnički i finansijski ispunjava zahteve postavljene ovom tenderskom procedurom. </w:t>
      </w:r>
    </w:p>
    <w:p w:rsidR="00E15DAA" w:rsidRDefault="005E0F3A" w:rsidP="002E62F0">
      <w:pPr>
        <w:spacing w:before="120" w:after="12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Razgovori: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Razgovori nisu predviđeni.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Obaveštenje o dodeli Ugovora: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Uspešni ponuđač će biti obavešten o rezultatima evaluacione procedure pisanim putem.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Adresa i način  podnošenja ponude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Ponuđači će podneti svoje ponude koristeći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standardizovani set formulara za podnošenje dostupan u Delu B – Tehnička ponuda i u Delu C - Finansijska ponuda.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Svaki drugi propratni dokument uz ovaj poziv je poslat samo u informativne svrhe i ne zahteva menjanje kao ni podnošenje od strane ponuđača. Ponuda se podnosi 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 originalu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Ponude koje nisu u skladu sa propisanom formom mogu biti odbijene od strane naručioca.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 prilogu ponude, ponuđač je obavezan da priloži sledeću propratnu dokumentaciju: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Kopiju izvoda iz APR-a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(ukoliko nije javno dostupan) ili link ka registru privrednih subjekata koji vodi Agencija za privredne registre,</w:t>
      </w:r>
    </w:p>
    <w:p w:rsidR="00E15DAA" w:rsidRDefault="005E0F3A" w:rsidP="002E62F0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kopija ugovora ILI izjava pravnog lica sa spiskom referenci kojima se dokazuje predmetna kvalifikacija.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</w:p>
    <w:p w:rsidR="00E15DAA" w:rsidRDefault="00E15DAA" w:rsidP="002E62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Ponude se podnose u zapečaćenim kovertama, koje treba da sadrže sledeće informacije: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Ime i adresa ponuđača: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Ustanova za izradu tapiserija "Atelje 61"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Petrovaradinska tvrđava 9 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21131 Petrovaradin 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Kontakt lice: Anita Živković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Naziv tendera: Nabavka usluge organizacije otvarajuće konferencije, usluge iznajmljivanja opreme i usluge prevođenja za potrebe projekta Umetničko carstvo bez granica kroz prilike i znanje (Borderless Artistic Realm Through Opportunities and Knowledge –BARTOK)</w:t>
      </w:r>
    </w:p>
    <w:p w:rsidR="00E15DAA" w:rsidRDefault="00E15DAA" w:rsidP="002E62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Referentni broj:  HUSRB/23R/22/060/4.3.1., 4.7.4. i  5.2.1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Naznaku: ‘’Not to be opened before the tender opening session’’ (“Ne otvarati pre sastanka za otvaranje ponuda’’)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Ponude se moraju podneti korišćenjem sistema dvostrukih koverti, jedan  spoljašnji paket ili koverta mora sadržati dve zasebne zapečaćene koverte, jedna sa naznakom "Tehnička ponuda" – Deo B a druga sa naznakom "Finansijska ponuda" – Deo C. Bilo kakvo odstupanje od ovog pravila (npr. nezapečaćene koverte ili navođenje cene u tehničkoj ponudi) smatraće se kršenjem pravila i vodiće odbijanju ponude. 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Ponude se podnose lično, poštom ili kurirskom službom na sledeću adresu: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Ustanova za izradu tapiserija "Atelje 61", 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Petrovaradinska tvrđava 9, 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21131 Petrovaradin 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Kontakt lice: Anita Živković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Ponuđači se podsećaju da će se uzeti u razmatranje samo ponude pristigle do krajnjeg roka koji je gore naveden.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numPr>
          <w:ilvl w:val="0"/>
          <w:numId w:val="3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TEHNIČKE INFORMACIJE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Ponuđači su u obavezi da pruže dole navedene usluge. U svojoj tehničkoj ponudi ponuđači treba detaljnije da opišu tražene usluge a prema dole postavljenim zahtevima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Aktivnosti:</w:t>
      </w:r>
    </w:p>
    <w:p w:rsidR="00E15DAA" w:rsidRDefault="005E0F3A" w:rsidP="002E62F0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Usluge organizacije otvarajuće konferencije, i iznajmljivanja opreme za prevođenje za potrebe projekta Umetničko carstvo bez granica kroz prilike i znanje (Borderless Artistic Realm Through Opportunities and Knowledge –BARTOK)</w:t>
      </w:r>
    </w:p>
    <w:p w:rsidR="00E15DAA" w:rsidRDefault="00E15DAA" w:rsidP="002E62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5DAA" w:rsidRDefault="005E0F3A" w:rsidP="002E62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Opis očekivanih outputa/rezultata koje je potrebno postići</w:t>
      </w:r>
    </w:p>
    <w:p w:rsidR="00E15DAA" w:rsidRDefault="005E0F3A" w:rsidP="002E62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Ponuđač je u obavezi da izvrši uslugu organizacije jednodnevnog događaja- otvarajuće konferencije u Novom Sadu u decemb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ru 2024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za okvirno 50 učesnika iz Mađarske i Srbije. Tačna lokacija će biti definisana u toku implementacije projekta na predlog Ponuđača min 3 potencijalne lokacije, a konačnu odluku doneće Naručilac. </w:t>
      </w:r>
    </w:p>
    <w:p w:rsidR="00E15DAA" w:rsidRDefault="005E0F3A" w:rsidP="002E62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Ponuđač je u obezbedi i tehničke uslove za simultano prevođenje, i online uključenje i praćenje konferencije</w:t>
      </w:r>
    </w:p>
    <w:p w:rsidR="00E15DAA" w:rsidRDefault="00E15DAA" w:rsidP="002E62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5DAA" w:rsidRDefault="005E0F3A" w:rsidP="002E62F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left="360" w:firstLineChars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Adekvatna prostorija za konferenciju sa min 50 mesta odgovarajuća opreme: laptop, projektor, konferencijski sto, video bim. Konferencijska sala treba da bude klimatizovana i da ima adekvatno svetlo </w:t>
      </w:r>
    </w:p>
    <w:p w:rsidR="00E15DAA" w:rsidRDefault="005E0F3A" w:rsidP="002E62F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left="360" w:firstLineChars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Usluge obezbeđenja hrane, odnosno ručka, u vidu bifea, švedskog stola za minimum 50 ljudi. Salata i min 2 glavna jela po izboru kao i dezert moraju biti obezbeđeni. </w:t>
      </w:r>
    </w:p>
    <w:p w:rsidR="00E15DAA" w:rsidRDefault="005E0F3A" w:rsidP="002E62F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left="360" w:firstLineChars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Uz ručak potrebno je obezbediti i osveženje i to bezalkoholna pića, gazirana i ne gazirana, mineralnu vodu, vodu, kafu i čaj (min 2 pića po osobi).</w:t>
      </w:r>
    </w:p>
    <w:p w:rsidR="00E15DAA" w:rsidRDefault="005E0F3A" w:rsidP="002E62F0">
      <w:pPr>
        <w:numPr>
          <w:ilvl w:val="0"/>
          <w:numId w:val="4"/>
        </w:numPr>
        <w:spacing w:after="240" w:line="240" w:lineRule="auto"/>
        <w:ind w:leftChars="0" w:left="360" w:firstLineChars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Ponuđač je u obavezi za obezbedi prevodilačku opremu min 50 setova slušalica, aparata i druge opreme za simultano prevođenje otvarajuće konferencije.</w:t>
      </w:r>
    </w:p>
    <w:p w:rsidR="00E15DAA" w:rsidRDefault="005E0F3A" w:rsidP="002E62F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left="360" w:firstLineChars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Pravila vidljivosti projekta moraju biti ispoštovana prilikom organizacije događaja, u skladu sa Visual identity manual &amp; Information and publicity guidelines,  Updated version: 04 June 2024</w:t>
      </w:r>
    </w:p>
    <w:p w:rsidR="00E15DAA" w:rsidRDefault="005E0F3A" w:rsidP="002E62F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left="360" w:firstLineChars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Pravila vidljivosti programa moraju biti jasno primenjena na ovim  događajima. Program logo i EU logo moraju obavezno biti prikazani i jasno vidljivi na svakom događaju.  Jasno pripremljene informacije i naziv projekta, i prikaz partnera u projektu mora biti prikazan. </w:t>
      </w:r>
    </w:p>
    <w:p w:rsidR="00E15DAA" w:rsidRDefault="005E0F3A" w:rsidP="002E62F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left="360" w:firstLineChars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Ponuđač treba pozove goste na događaj. Lista organizacija i pojedinaca koji će biti pozvani na događaje priprema se u saradnji sa Naručiocem. Program konferencije treba da bude definisan i pripremljen od strane Ponuđača, ali u bliskoj saradnji sa Naručiocem.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E62F0" w:rsidRDefault="002E62F0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E62F0" w:rsidRDefault="002E62F0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E62F0" w:rsidRDefault="002E62F0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E62F0" w:rsidRDefault="002E62F0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Zahtevani inputi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Kvalifikacije za pravno lice kao podnosioca ponude za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usluge organizacije otvarajuće konferencije i iznajmljivanja opreme za prevođenje za potrebe projekta Umetničko carstvo bez granica kroz prilike i znanje (Borderless Artistic Realm Through Opportunities and Knowledge –BARTOK)</w:t>
      </w:r>
    </w:p>
    <w:p w:rsidR="00E15DAA" w:rsidRDefault="00E15DAA" w:rsidP="002E62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5DAA" w:rsidRDefault="005E0F3A" w:rsidP="002E62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Posedovanje prethodnog iskustva u realizaciji usluga organizacije događaja sa obezbeđenom opremom za prevođenje.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Dokaz koji se prilaže uz ponudu:</w:t>
      </w:r>
    </w:p>
    <w:p w:rsidR="00E15DAA" w:rsidRDefault="005E0F3A" w:rsidP="002E62F0">
      <w:pPr>
        <w:numPr>
          <w:ilvl w:val="2"/>
          <w:numId w:val="5"/>
        </w:numPr>
        <w:spacing w:after="0"/>
        <w:ind w:leftChars="0" w:left="360" w:firstLineChars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kopija ugovora ILI izjava pravnog lica sa spiskom referenci kojima se dokazuju predmetne kvalifikacije.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Period izvršenja usluge: 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Decembar2024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Usluga prevođenja za potrebe projekta Umetničko carstvo bez granica kroz prilike i znanje (Borderless Artistic Realm Through Opportunities and Knowledge –BARTOK)</w:t>
      </w:r>
    </w:p>
    <w:p w:rsidR="00E15DAA" w:rsidRDefault="00E15DAA" w:rsidP="002E62F0">
      <w:pPr>
        <w:spacing w:after="24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24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Ponuđač je potrebno da obezbedi kvalifikovano stručno osoblje za prevođenje stručnih tekstova i reklamnog materijala, i kao i osobu  za simultano  i konsekutivno prevođenje na konferenciji (jezici-srpski engleski i mađarski)</w:t>
      </w:r>
    </w:p>
    <w:p w:rsidR="00E15DAA" w:rsidRDefault="005E0F3A" w:rsidP="002E62F0">
      <w:pPr>
        <w:spacing w:after="24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Ponuđač se obavezuje i da prevede sav materijal pripremljen za štampu za potrebe naručioca, sadržaj podstranice programskog sajta na engleski i mađarski a koji je u vezi sa aktivnostima  Naručioca kao i sadržaj teksta promo filma koji izrađuje vodeći partner na srpski jezik.</w:t>
      </w:r>
    </w:p>
    <w:p w:rsidR="00E15DAA" w:rsidRDefault="005E0F3A" w:rsidP="002E62F0">
      <w:pPr>
        <w:spacing w:after="24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Ponuđač je u obavezi i da, ukoliko Naručilac od njega to zatraži, obezbedi stručni prevod na engleski i mađarski jezik određenih tekstova za facebook stranicu.</w:t>
      </w:r>
    </w:p>
    <w:p w:rsidR="00E15DAA" w:rsidRDefault="005E0F3A" w:rsidP="002E62F0">
      <w:pPr>
        <w:spacing w:after="24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Maximalan broj prevodilačkih strana koje može Naručilac zahtevati od ponuđača je 150.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Zahtevani inputi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Kvalifikacije za pravno lice kao podnosioca ponude za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usluge prevođenja za potrebe projekta Umetničko carstvo bez granica kroz prilike i znanje (Borderless Artistic Realm Through Opportunities and Knowledge –BARTOK)</w:t>
      </w:r>
    </w:p>
    <w:p w:rsidR="00E15DAA" w:rsidRDefault="00E15DAA" w:rsidP="002E62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5DAA" w:rsidRDefault="005E0F3A" w:rsidP="002E62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Posedovanje prethodnog iskustva u realizaciji usluga prevođenja za potrebe projekata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Dokaz koji se prilaže uz ponudu:</w:t>
      </w:r>
    </w:p>
    <w:p w:rsidR="00E15DAA" w:rsidRDefault="005E0F3A" w:rsidP="002E62F0">
      <w:pPr>
        <w:numPr>
          <w:ilvl w:val="2"/>
          <w:numId w:val="6"/>
        </w:numPr>
        <w:spacing w:after="0"/>
        <w:ind w:leftChars="0" w:left="0" w:firstLineChars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kopija ugovora ILI izjava pravnog lica sa spiskom referenci kojima se dokazuju predmetne kvalifikacije.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Period izvršenja usluge: 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Novembar 2024-Maj 2026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numPr>
          <w:ilvl w:val="0"/>
          <w:numId w:val="3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DODATNE INFORMACIJE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Neuspešni/uspešni ponuđači će biti informisani o rezultatima evaluacije. U tom slučaju Naručilac će poslati obaveštenje uspešnom ponuđaču i objaviti na web sajtu ime uspešnog ponuđača napominjući da “preostale ponude nisu admisistrativno/tehnički/finansijski usklađene.” 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Poverljivost</w:t>
      </w:r>
    </w:p>
    <w:p w:rsidR="00E15DAA" w:rsidRDefault="005E0F3A" w:rsidP="002E62F0">
      <w:pPr>
        <w:pStyle w:val="Heading3"/>
        <w:spacing w:before="280" w:after="280"/>
        <w:ind w:left="0" w:hanging="2"/>
        <w:jc w:val="both"/>
        <w:rPr>
          <w:b w:val="0"/>
        </w:rPr>
      </w:pPr>
      <w:r>
        <w:rPr>
          <w:b w:val="0"/>
          <w:sz w:val="24"/>
          <w:szCs w:val="24"/>
        </w:rPr>
        <w:t xml:space="preserve">Celokupna procedura evaluacije je poverljiva, i podleže zakonima naručioca koji se odnose na pristup dokumentima. Odluke evaluacione komisije su kolektivne i ona odluke donosi na zatvorenim sastancima. Članovi evaluacione komisije su se obavezali na tajnost. Evaluacioni izveštaji i pisana dokumenta su namenjena samo za službenu upotrebu i ne smeju se prenositi ni ponuđačima ni bilo kome drugome osim naručiocu, Evropskoj Komisiji, Evropskoj službi za suzbijanje prevara (OLAF) i Evropskom revizorskom sudu.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9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E15DAA">
        <w:tc>
          <w:tcPr>
            <w:tcW w:w="9000" w:type="dxa"/>
          </w:tcPr>
          <w:p w:rsidR="00E15DAA" w:rsidRDefault="005E0F3A" w:rsidP="002E62F0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NE POPUNJAVATI PRE POTPISIVANJA UGOVORA </w:t>
            </w:r>
          </w:p>
        </w:tc>
      </w:tr>
      <w:tr w:rsidR="00E15DAA">
        <w:tc>
          <w:tcPr>
            <w:tcW w:w="9000" w:type="dxa"/>
          </w:tcPr>
          <w:p w:rsidR="00E15DAA" w:rsidRDefault="005E0F3A" w:rsidP="002E62F0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NE PODNOSITI U OKVIRU PONUDE!!!</w:t>
            </w:r>
          </w:p>
        </w:tc>
      </w:tr>
    </w:tbl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FORMAT UGOVORA IZMEĐU IZVRŠIOCA I NARUČIOCA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NAZIV UGOVORA: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naziv ugovora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REF: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referentni broj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Zaključen između: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Poslovno ime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&gt;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 xml:space="preserve"> 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Adresa naručioca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(Naručilac)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Poslovno ime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&gt;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Adresa izvršioca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&gt;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Matični broj/PIB broj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&gt;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(Izvršilac)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1: Predmet Ugovora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Predmet Ugovora je 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usluga</w:t>
      </w:r>
      <w:r>
        <w:rPr>
          <w:rFonts w:ascii="Times New Roman" w:eastAsia="Times New Roman" w:hAnsi="Times New Roman" w:cs="Times New Roman"/>
          <w:sz w:val="24"/>
          <w:szCs w:val="24"/>
        </w:rPr>
        <w:t>&gt; kao što je i navedeno u ponudi izvršioca – ‘’Deo B: Format ponude koji popunjava ponuđač’’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2: Vrednost Ugovora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Ukupna vrednost Ugovora za pružanje usluga iz Člana 1 je: &lt;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XXX EUR/RSD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uključujući/isključujući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PDV.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sve partnere: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 skladu sa IPA implementacionom regulativom, za sve partnere PDV može biti prihvatljiv trošak. Naručilac će platiti jedinične cene, kako je navedeno u finansijskoj ponudi kao i PDV ukoliko je isti prihvatljiv i jasno naveden na računu. 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ovaj ugovor PDV je [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prihvatljiv / neprihvatljiv]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trošak.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3: Ugovorna dokumentacija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Dokumenta koja čine deo ovog ugovora su (po prioritetu):</w:t>
      </w:r>
    </w:p>
    <w:p w:rsidR="00E15DAA" w:rsidRDefault="005E0F3A" w:rsidP="002E62F0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Ugovor</w:t>
      </w:r>
    </w:p>
    <w:p w:rsidR="00E15DAA" w:rsidRDefault="005E0F3A" w:rsidP="002E62F0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Ponuda izvršioca koja je obezbeđena u tenderskoj fazi – ‘’Deo B: Format ponude koji popunjava ponuđač ’’</w:t>
      </w:r>
    </w:p>
    <w:p w:rsidR="00E15DAA" w:rsidRDefault="005E0F3A" w:rsidP="002E62F0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Finansijska ponuda izvršioca –“ Deo C: Format finansijske ponude”</w:t>
      </w:r>
    </w:p>
    <w:p w:rsidR="00E15DAA" w:rsidRDefault="005E0F3A" w:rsidP="002E62F0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Sva druga prateća dokumentacija ukoliko je tražena (* - u slučaju zahteva za dostavom izvoda iz APR-a ili drugih informacija)  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 sva pitanja koja nisu definisana ovim Ugovorom biće primenjena pravila predviđena Opštim uslovima (General conditions) </w:t>
      </w:r>
    </w:p>
    <w:tbl>
      <w:tblPr>
        <w:tblStyle w:val="a2"/>
        <w:tblW w:w="9176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30"/>
        <w:gridCol w:w="6926"/>
      </w:tblGrid>
      <w:tr w:rsidR="00E15DAA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E15DAA" w:rsidRDefault="005E0F3A" w:rsidP="002E62F0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B8d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E15DAA" w:rsidRDefault="005E0F3A" w:rsidP="002E62F0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Nacrt Ugovora: Opšti uslovi</w:t>
            </w:r>
          </w:p>
        </w:tc>
        <w:tc>
          <w:tcPr>
            <w:tcW w:w="6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E15DAA" w:rsidRDefault="00E530D0" w:rsidP="002E62F0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>
              <w:r w:rsidR="005E0F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https://wikis.ec.europa.eu/download/attachments/44168995/b8d_annexigc_en.pdf</w:t>
              </w:r>
            </w:hyperlink>
          </w:p>
        </w:tc>
      </w:tr>
    </w:tbl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530D0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" w:anchor="Annexes-AnnexesB(Ch.3):Servicecontracts">
        <w:r w:rsidR="005E0F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https://wikis.ec.europa.eu/display/ExactExternalWiki/Annexes#Annexes-AnnexesB(Ch.3):Servicecontracts</w:t>
        </w:r>
      </w:hyperlink>
      <w:r w:rsidR="005E0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4: Pružanje usluga i plaćanja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Izvršilac će bezrezervno pružiti usluge kao što je i navedeno u ponudi izvršioca ‘’Deo B: Format ponude koju popunjava ponuđač’’. Pružanje usluga će biti implementirano u okviru navedenih datuma.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Naručilac će platiti izvršiocu usluge u iznosu koji je naveden u Članu 2 ovog Ugovora.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 slučaju da je Ugovor zaključen u EUR, a plaćanja u RSD, kurs koji se primenjuje mora biti InforEuro kurs za mesec izdavanja fakture ili profakture u slučaju oslobađanja od PDV-a.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Plaćanja će biti izvršena prema sledećem vremenskom rasporedu.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tbl>
      <w:tblPr>
        <w:tblStyle w:val="a3"/>
        <w:tblpPr w:leftFromText="180" w:rightFromText="180" w:vertAnchor="text" w:tblpX="108" w:tblpY="1"/>
        <w:tblW w:w="901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509"/>
        <w:gridCol w:w="2781"/>
      </w:tblGrid>
      <w:tr w:rsidR="00E15DAA">
        <w:trPr>
          <w:cantSplit/>
          <w:trHeight w:val="345"/>
        </w:trPr>
        <w:tc>
          <w:tcPr>
            <w:tcW w:w="1728" w:type="dxa"/>
          </w:tcPr>
          <w:p w:rsidR="00E15DAA" w:rsidRDefault="005E0F3A" w:rsidP="002E62F0">
            <w:pPr>
              <w:keepNext/>
              <w:spacing w:before="40" w:after="40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yellow"/>
              </w:rPr>
              <w:t>Dan/Mesec</w:t>
            </w:r>
          </w:p>
        </w:tc>
        <w:tc>
          <w:tcPr>
            <w:tcW w:w="4509" w:type="dxa"/>
          </w:tcPr>
          <w:p w:rsidR="00E15DAA" w:rsidRDefault="00E15DAA" w:rsidP="002E62F0">
            <w:pPr>
              <w:keepNext/>
              <w:spacing w:before="40" w:after="40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1" w:type="dxa"/>
          </w:tcPr>
          <w:p w:rsidR="00E15DAA" w:rsidRDefault="005E0F3A" w:rsidP="002E62F0">
            <w:pPr>
              <w:keepNext/>
              <w:spacing w:before="40" w:after="40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&lt;</w:t>
            </w:r>
            <w:r>
              <w:rPr>
                <w:rFonts w:ascii="Times New Roman" w:eastAsia="Times New Roman" w:hAnsi="Times New Roman" w:cs="Times New Roman"/>
                <w:b/>
                <w:highlight w:val="yellow"/>
              </w:rPr>
              <w:t>EUR/RSD</w:t>
            </w:r>
            <w:r>
              <w:rPr>
                <w:rFonts w:ascii="Times New Roman" w:eastAsia="Times New Roman" w:hAnsi="Times New Roman" w:cs="Times New Roman"/>
                <w:b/>
              </w:rPr>
              <w:t>&gt;</w:t>
            </w:r>
          </w:p>
        </w:tc>
      </w:tr>
      <w:tr w:rsidR="00E15DAA">
        <w:trPr>
          <w:cantSplit/>
          <w:trHeight w:val="665"/>
        </w:trPr>
        <w:tc>
          <w:tcPr>
            <w:tcW w:w="1728" w:type="dxa"/>
            <w:tcBorders>
              <w:bottom w:val="nil"/>
            </w:tcBorders>
          </w:tcPr>
          <w:p w:rsidR="00E15DAA" w:rsidRDefault="005E0F3A" w:rsidP="002E62F0">
            <w:pPr>
              <w:spacing w:before="40" w:after="4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Okvirno Decembar 2024-Januar 2025 god</w:t>
            </w:r>
          </w:p>
        </w:tc>
        <w:tc>
          <w:tcPr>
            <w:tcW w:w="4509" w:type="dxa"/>
            <w:tcBorders>
              <w:bottom w:val="nil"/>
            </w:tcBorders>
          </w:tcPr>
          <w:p w:rsidR="00E15DAA" w:rsidRDefault="005E0F3A" w:rsidP="002E62F0">
            <w:pPr>
              <w:spacing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Privremena plaćanja (*ako je primenljivo)</w:t>
            </w:r>
          </w:p>
          <w:p w:rsidR="00E15DAA" w:rsidRDefault="00E15DAA" w:rsidP="002E62F0">
            <w:pPr>
              <w:spacing w:before="40" w:after="4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1" w:type="dxa"/>
            <w:tcBorders>
              <w:bottom w:val="nil"/>
            </w:tcBorders>
          </w:tcPr>
          <w:p w:rsidR="00E15DAA" w:rsidRDefault="005E0F3A" w:rsidP="002E62F0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Okvirno 5000e</w:t>
            </w:r>
          </w:p>
        </w:tc>
      </w:tr>
      <w:tr w:rsidR="00E15DAA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E15DAA" w:rsidRDefault="005E0F3A" w:rsidP="002E62F0">
            <w:pPr>
              <w:spacing w:before="40" w:after="4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Okvirno maj 2026</w:t>
            </w:r>
          </w:p>
        </w:tc>
        <w:tc>
          <w:tcPr>
            <w:tcW w:w="4509" w:type="dxa"/>
            <w:tcBorders>
              <w:bottom w:val="nil"/>
            </w:tcBorders>
          </w:tcPr>
          <w:p w:rsidR="00E15DAA" w:rsidRDefault="005E0F3A" w:rsidP="002E62F0">
            <w:pPr>
              <w:spacing w:before="40" w:after="4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Konačna isplata</w:t>
            </w:r>
          </w:p>
        </w:tc>
        <w:tc>
          <w:tcPr>
            <w:tcW w:w="2781" w:type="dxa"/>
            <w:tcBorders>
              <w:bottom w:val="nil"/>
            </w:tcBorders>
          </w:tcPr>
          <w:p w:rsidR="00E15DAA" w:rsidRDefault="005E0F3A" w:rsidP="002E62F0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Okvirno 1500</w:t>
            </w:r>
          </w:p>
        </w:tc>
      </w:tr>
      <w:tr w:rsidR="00E15DAA">
        <w:trPr>
          <w:cantSplit/>
          <w:trHeight w:val="398"/>
        </w:trPr>
        <w:tc>
          <w:tcPr>
            <w:tcW w:w="1728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E6E6E6"/>
          </w:tcPr>
          <w:p w:rsidR="00E15DAA" w:rsidRDefault="00E15DAA" w:rsidP="002E62F0">
            <w:pPr>
              <w:spacing w:before="40" w:after="4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9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E6E6E6"/>
          </w:tcPr>
          <w:p w:rsidR="00E15DAA" w:rsidRDefault="005E0F3A" w:rsidP="002E62F0">
            <w:pPr>
              <w:spacing w:before="40" w:after="4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2781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E6E6E6"/>
          </w:tcPr>
          <w:p w:rsidR="00E15DAA" w:rsidRDefault="002E62F0" w:rsidP="002E62F0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6500</w:t>
            </w:r>
          </w:p>
        </w:tc>
      </w:tr>
    </w:tbl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 - Izvršilac će dostaviti naručiocu kratak izveštaj o izvršenim uslugama, što će predstavljati osnovu za odobrenje privremenih i konačnih isplata.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5: Trajanje Ugovora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Trajanje Ugovora je &lt;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XX dana/meseci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&gt;. 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Datum početka Ugovora je &lt;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dd/mm/gggg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Član 6: Rešavanje sporova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Bilo kakvi sporovi koji proizilaze ili su vezani za ovaj Ugovor koji se ne mogu drugačije rešiti će biti upućeni na isključivu nadležnost (*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- navesti nadležni sud ili arbitarno telo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u saglasnosti sa nacionalnim zakonodavstvom države naručioca.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9090" w:type="dxa"/>
        <w:tblLayout w:type="fixed"/>
        <w:tblLook w:val="0000" w:firstRow="0" w:lastRow="0" w:firstColumn="0" w:lastColumn="0" w:noHBand="0" w:noVBand="0"/>
      </w:tblPr>
      <w:tblGrid>
        <w:gridCol w:w="1491"/>
        <w:gridCol w:w="3259"/>
        <w:gridCol w:w="2321"/>
        <w:gridCol w:w="2019"/>
      </w:tblGrid>
      <w:tr w:rsidR="00E15DAA">
        <w:tc>
          <w:tcPr>
            <w:tcW w:w="4750" w:type="dxa"/>
            <w:gridSpan w:val="2"/>
          </w:tcPr>
          <w:p w:rsidR="00E15DAA" w:rsidRDefault="005E0F3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Za izvršioca</w:t>
            </w:r>
          </w:p>
        </w:tc>
        <w:tc>
          <w:tcPr>
            <w:tcW w:w="4340" w:type="dxa"/>
            <w:gridSpan w:val="2"/>
          </w:tcPr>
          <w:p w:rsidR="00E15DAA" w:rsidRDefault="005E0F3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Za naručioca</w:t>
            </w:r>
          </w:p>
        </w:tc>
      </w:tr>
      <w:tr w:rsidR="00E15DAA">
        <w:trPr>
          <w:cantSplit/>
        </w:trPr>
        <w:tc>
          <w:tcPr>
            <w:tcW w:w="1491" w:type="dxa"/>
          </w:tcPr>
          <w:p w:rsidR="00E15DAA" w:rsidRDefault="005E0F3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Ime:</w:t>
            </w:r>
          </w:p>
        </w:tc>
        <w:tc>
          <w:tcPr>
            <w:tcW w:w="3259" w:type="dxa"/>
          </w:tcPr>
          <w:p w:rsidR="00E15DAA" w:rsidRDefault="00E15DA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1" w:type="dxa"/>
          </w:tcPr>
          <w:p w:rsidR="00E15DAA" w:rsidRDefault="005E0F3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Ime:</w:t>
            </w:r>
          </w:p>
        </w:tc>
        <w:tc>
          <w:tcPr>
            <w:tcW w:w="2019" w:type="dxa"/>
          </w:tcPr>
          <w:p w:rsidR="00E15DAA" w:rsidRDefault="00E15DA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DAA">
        <w:trPr>
          <w:cantSplit/>
        </w:trPr>
        <w:tc>
          <w:tcPr>
            <w:tcW w:w="1491" w:type="dxa"/>
          </w:tcPr>
          <w:p w:rsidR="00E15DAA" w:rsidRDefault="005E0F3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Zvanje:</w:t>
            </w:r>
          </w:p>
        </w:tc>
        <w:tc>
          <w:tcPr>
            <w:tcW w:w="3259" w:type="dxa"/>
          </w:tcPr>
          <w:p w:rsidR="00E15DAA" w:rsidRDefault="00E15DA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2321" w:type="dxa"/>
          </w:tcPr>
          <w:p w:rsidR="00E15DAA" w:rsidRDefault="005E0F3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Zvanje:</w:t>
            </w:r>
          </w:p>
        </w:tc>
        <w:tc>
          <w:tcPr>
            <w:tcW w:w="2019" w:type="dxa"/>
          </w:tcPr>
          <w:p w:rsidR="00E15DAA" w:rsidRDefault="00E15DA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DAA">
        <w:trPr>
          <w:cantSplit/>
        </w:trPr>
        <w:tc>
          <w:tcPr>
            <w:tcW w:w="1491" w:type="dxa"/>
          </w:tcPr>
          <w:p w:rsidR="00E15DAA" w:rsidRDefault="005E0F3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Potpis:</w:t>
            </w:r>
          </w:p>
        </w:tc>
        <w:tc>
          <w:tcPr>
            <w:tcW w:w="3259" w:type="dxa"/>
          </w:tcPr>
          <w:p w:rsidR="00E15DAA" w:rsidRDefault="00E15DA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1" w:type="dxa"/>
          </w:tcPr>
          <w:p w:rsidR="00E15DAA" w:rsidRDefault="005E0F3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Potpis:</w:t>
            </w:r>
          </w:p>
        </w:tc>
        <w:tc>
          <w:tcPr>
            <w:tcW w:w="2019" w:type="dxa"/>
          </w:tcPr>
          <w:p w:rsidR="00E15DAA" w:rsidRDefault="00E15DA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DAA">
        <w:trPr>
          <w:cantSplit/>
        </w:trPr>
        <w:tc>
          <w:tcPr>
            <w:tcW w:w="1491" w:type="dxa"/>
          </w:tcPr>
          <w:p w:rsidR="00E15DAA" w:rsidRDefault="005E0F3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Datum:</w:t>
            </w:r>
          </w:p>
        </w:tc>
        <w:tc>
          <w:tcPr>
            <w:tcW w:w="3259" w:type="dxa"/>
          </w:tcPr>
          <w:p w:rsidR="00E15DAA" w:rsidRDefault="00E15DA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1" w:type="dxa"/>
          </w:tcPr>
          <w:p w:rsidR="00E15DAA" w:rsidRDefault="005E0F3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Datum:</w:t>
            </w:r>
          </w:p>
        </w:tc>
        <w:tc>
          <w:tcPr>
            <w:tcW w:w="2019" w:type="dxa"/>
          </w:tcPr>
          <w:p w:rsidR="00E15DAA" w:rsidRDefault="00E15DA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p w:rsidR="00E15DAA" w:rsidRDefault="00E15DAA" w:rsidP="00E15DAA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sectPr w:rsidR="00E15DA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81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0D0" w:rsidRDefault="00E530D0" w:rsidP="002E62F0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E530D0" w:rsidRDefault="00E530D0" w:rsidP="002E62F0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DAA" w:rsidRDefault="00E15DAA" w:rsidP="002E62F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DAA" w:rsidRDefault="00E15DAA" w:rsidP="002E62F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DAA" w:rsidRDefault="00E15DAA" w:rsidP="002E62F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0D0" w:rsidRDefault="00E530D0" w:rsidP="002E62F0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E530D0" w:rsidRDefault="00E530D0" w:rsidP="002E62F0">
      <w:pPr>
        <w:spacing w:after="0" w:line="240" w:lineRule="auto"/>
        <w:ind w:left="0" w:hanging="2"/>
      </w:pPr>
      <w:r>
        <w:continuationSeparator/>
      </w:r>
    </w:p>
  </w:footnote>
  <w:footnote w:id="1">
    <w:p w:rsidR="00E15DAA" w:rsidRDefault="005E0F3A" w:rsidP="002E62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Gde je primenljivo. Za fizička lica, navesti broj lične karte, pasoša ili broj sličnog dokumenta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DAA" w:rsidRDefault="00E15DAA" w:rsidP="002E62F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DAA" w:rsidRDefault="00E15DAA" w:rsidP="002E62F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DAA" w:rsidRDefault="00E15DAA" w:rsidP="002E62F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C7203"/>
    <w:multiLevelType w:val="multilevel"/>
    <w:tmpl w:val="4BE859F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200938F5"/>
    <w:multiLevelType w:val="multilevel"/>
    <w:tmpl w:val="80582032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2E901574"/>
    <w:multiLevelType w:val="multilevel"/>
    <w:tmpl w:val="561CD0E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3">
    <w:nsid w:val="31BB7DCC"/>
    <w:multiLevelType w:val="multilevel"/>
    <w:tmpl w:val="98240B7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40F24C46"/>
    <w:multiLevelType w:val="multilevel"/>
    <w:tmpl w:val="D35618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67777D65"/>
    <w:multiLevelType w:val="multilevel"/>
    <w:tmpl w:val="B2AAA4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15DAA"/>
    <w:rsid w:val="000831E2"/>
    <w:rsid w:val="002E62F0"/>
    <w:rsid w:val="005E0F3A"/>
    <w:rsid w:val="00A67CE9"/>
    <w:rsid w:val="00E15DAA"/>
    <w:rsid w:val="00E5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pPr>
      <w:ind w:left="708"/>
    </w:p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BodyText">
    <w:name w:val="Body Text"/>
    <w:basedOn w:val="Normal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BodyTextChar">
    <w:name w:val="Body Text Char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  <w:lang w:val="en-GB" w:eastAsia="en-GB"/>
    </w:rPr>
  </w:style>
  <w:style w:type="paragraph" w:styleId="EndnoteText">
    <w:name w:val="endnote text"/>
    <w:basedOn w:val="Normal"/>
    <w:qFormat/>
    <w:rPr>
      <w:sz w:val="20"/>
      <w:szCs w:val="20"/>
    </w:rPr>
  </w:style>
  <w:style w:type="character" w:customStyle="1" w:styleId="EndnoteTextChar">
    <w:name w:val="Endnote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character" w:styleId="EndnoteReference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FootnoteText">
    <w:name w:val="footnote text"/>
    <w:basedOn w:val="Normal"/>
    <w:qFormat/>
    <w:rPr>
      <w:sz w:val="20"/>
      <w:szCs w:val="20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sl-SI" w:eastAsia="en-US"/>
    </w:rPr>
  </w:style>
  <w:style w:type="paragraph" w:styleId="Header">
    <w:name w:val="header"/>
    <w:basedOn w:val="Normal"/>
    <w:qFormat/>
    <w:pPr>
      <w:spacing w:after="0" w:line="240" w:lineRule="auto"/>
    </w:pPr>
  </w:style>
  <w:style w:type="character" w:customStyle="1" w:styleId="HeaderChar">
    <w:name w:val="Head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paragraph" w:styleId="Footer">
    <w:name w:val="footer"/>
    <w:basedOn w:val="Normal"/>
    <w:qFormat/>
    <w:pPr>
      <w:spacing w:after="0" w:line="240" w:lineRule="auto"/>
    </w:p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character" w:customStyle="1" w:styleId="Heading3Char">
    <w:name w:val="Heading 3 Char"/>
    <w:rPr>
      <w:rFonts w:ascii="Times New Roman" w:eastAsia="Times New Roman" w:hAnsi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pPr>
      <w:ind w:left="708"/>
    </w:p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BodyText">
    <w:name w:val="Body Text"/>
    <w:basedOn w:val="Normal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BodyTextChar">
    <w:name w:val="Body Text Char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  <w:lang w:val="en-GB" w:eastAsia="en-GB"/>
    </w:rPr>
  </w:style>
  <w:style w:type="paragraph" w:styleId="EndnoteText">
    <w:name w:val="endnote text"/>
    <w:basedOn w:val="Normal"/>
    <w:qFormat/>
    <w:rPr>
      <w:sz w:val="20"/>
      <w:szCs w:val="20"/>
    </w:rPr>
  </w:style>
  <w:style w:type="character" w:customStyle="1" w:styleId="EndnoteTextChar">
    <w:name w:val="Endnote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character" w:styleId="EndnoteReference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FootnoteText">
    <w:name w:val="footnote text"/>
    <w:basedOn w:val="Normal"/>
    <w:qFormat/>
    <w:rPr>
      <w:sz w:val="20"/>
      <w:szCs w:val="20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sl-SI" w:eastAsia="en-US"/>
    </w:rPr>
  </w:style>
  <w:style w:type="paragraph" w:styleId="Header">
    <w:name w:val="header"/>
    <w:basedOn w:val="Normal"/>
    <w:qFormat/>
    <w:pPr>
      <w:spacing w:after="0" w:line="240" w:lineRule="auto"/>
    </w:pPr>
  </w:style>
  <w:style w:type="character" w:customStyle="1" w:styleId="HeaderChar">
    <w:name w:val="Head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paragraph" w:styleId="Footer">
    <w:name w:val="footer"/>
    <w:basedOn w:val="Normal"/>
    <w:qFormat/>
    <w:pPr>
      <w:spacing w:after="0" w:line="240" w:lineRule="auto"/>
    </w:p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character" w:customStyle="1" w:styleId="Heading3Char">
    <w:name w:val="Heading 3 Char"/>
    <w:rPr>
      <w:rFonts w:ascii="Times New Roman" w:eastAsia="Times New Roman" w:hAnsi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.ec.europa.eu/download/attachments/44168995/b8d_annexigc_en.pdf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ikis.ec.europa.eu/display/ExactExternalWiki/Annexe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1979</Words>
  <Characters>11281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2024-11-08T07:21:00Z</dcterms:created>
  <dcterms:modified xsi:type="dcterms:W3CDTF">2024-11-08T07:21:00Z</dcterms:modified>
</cp:coreProperties>
</file>