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A59" w:rsidRDefault="00BE6A59" w:rsidP="006F7AC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" w:eastAsia="Arial" w:hAnsi="Arial" w:cs="Arial"/>
          <w:color w:val="000000"/>
        </w:rPr>
      </w:pPr>
    </w:p>
    <w:tbl>
      <w:tblPr>
        <w:tblStyle w:val="a"/>
        <w:tblW w:w="9000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BE6A59">
        <w:tc>
          <w:tcPr>
            <w:tcW w:w="9000" w:type="dxa"/>
            <w:shd w:val="clear" w:color="auto" w:fill="D3DFEE"/>
          </w:tcPr>
          <w:p w:rsidR="00BE6A59" w:rsidRDefault="00D744F7" w:rsidP="006F7AC8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DEO A: INFORMACIJE ZA PODNOSIOCA PONUDE </w:t>
            </w:r>
          </w:p>
        </w:tc>
      </w:tr>
    </w:tbl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</w:rPr>
      </w:pPr>
    </w:p>
    <w:tbl>
      <w:tblPr>
        <w:tblStyle w:val="a0"/>
        <w:tblW w:w="9000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BE6A59">
        <w:tc>
          <w:tcPr>
            <w:tcW w:w="9000" w:type="dxa"/>
            <w:shd w:val="clear" w:color="auto" w:fill="D3DFEE"/>
          </w:tcPr>
          <w:p w:rsidR="00BE6A59" w:rsidRDefault="00D744F7" w:rsidP="006F7AC8">
            <w:pPr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 i adresa naručioca:  Ustanova za izradu tapiserija "Atelje 61", Petrovaradinska tvrđava 9, 21131 Petrovaradin</w:t>
            </w:r>
          </w:p>
          <w:p w:rsidR="00BE6A59" w:rsidRDefault="00D744F7" w:rsidP="006F7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Naziv tendera: Nabavka usluge obaveznog komunikacijskog paketa i nabavka promo materijala za potrebe projekta Umetničko carstvo bez granica kroz prilike i znanje (Borderless Artistic Realm Through Opportunities and Knowledge –BARTOK)</w:t>
            </w:r>
          </w:p>
          <w:p w:rsidR="00BE6A59" w:rsidRDefault="00D744F7" w:rsidP="006F7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Referentni broj:  HUSR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B/23R/22/060/4.6.1.i 4.7.7.</w:t>
            </w:r>
          </w:p>
          <w:p w:rsidR="00BE6A59" w:rsidRDefault="00D744F7" w:rsidP="006F7AC8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Datum objavljivanja: 5/11/2024</w:t>
            </w:r>
          </w:p>
        </w:tc>
      </w:tr>
    </w:tbl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</w:rPr>
      </w:pPr>
    </w:p>
    <w:p w:rsidR="00BE6A59" w:rsidRDefault="00D744F7" w:rsidP="006F7AC8">
      <w:pPr>
        <w:numPr>
          <w:ilvl w:val="0"/>
          <w:numId w:val="3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INFORMACIJE O PODNOŠENJU PONUDA ZA TENDER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Predmet Ugovora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BE6A59" w:rsidRDefault="00D744F7" w:rsidP="006F7AC8">
      <w:pPr>
        <w:tabs>
          <w:tab w:val="left" w:pos="1275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Predmet ovog tendera je: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Nabavka usluge obaveznog komunikacijskog paketa i nabavka promo materijala za potrebe projekta Umetničko carstvo bez granica kroz prilike i znanje (Borderless Artistic Realm Through Opportunities and Knowledge –BARTOK)</w:t>
      </w:r>
    </w:p>
    <w:p w:rsidR="00BE6A59" w:rsidRDefault="00BE6A59" w:rsidP="006F7AC8">
      <w:pPr>
        <w:spacing w:after="0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Krajnji rok za podnošenje ponuda za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tender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Krajnji rok za podnošenje ponuda za tender je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14/11/2024 u 12:00 časova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Sve ponude dobijene nakon ovog roka će automatski biti odbijene. 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 - Ponuđač bi trebalo da ima minimum 7 dana od datuma objavljivanja javne nabavke za pripremu ponude (isključujući dan objave i datum krajnjeg roka za podnošenje ponude).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** - Naručilac je u obavezi da pruži odgovor na sva dobijena pitanja najkasnije u 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oku od 3 dana pre isteka roka kao i da ih objavi na istim web site-ovima na kojima je i sam tender objavljen. 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Finansijske informacije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Podnosioci ponuda za tender se podsećaju da je maksimalna raspoloživa vrednost Ugovora 6.100 EUR uključujući i PDV. 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Finansijska ponuda mora biti prikazana u iznosu u EUR uključujući PDV i mora biti podneta na obrascu: DEO C: FORMAT FINANSIJSKE PONUDE. </w:t>
      </w: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 ovaj ugovor PDV je prihvatljiv trošak.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Odredbe vezane za primenu odgovarajućih poreza i carina su navedene u nacrtu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Ugovora, u Delu A ovog tenderskog dosijea. </w:t>
      </w:r>
    </w:p>
    <w:p w:rsidR="00BE6A59" w:rsidRDefault="00D744F7" w:rsidP="006F7AC8">
      <w:pPr>
        <w:keepNext/>
        <w:spacing w:before="120" w:after="12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Alternativna rešenja</w:t>
      </w:r>
    </w:p>
    <w:p w:rsidR="00BE6A59" w:rsidRDefault="00D744F7" w:rsidP="006F7AC8">
      <w:pPr>
        <w:spacing w:before="120" w:after="120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Ponuđačima nije dozvoljeno da koriste alternativna rešenja.</w:t>
      </w:r>
    </w:p>
    <w:p w:rsidR="00BE6A59" w:rsidRDefault="00D744F7" w:rsidP="006F7AC8">
      <w:pPr>
        <w:spacing w:before="120" w:after="120"/>
        <w:ind w:left="0" w:hanging="2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Podugovaranje</w:t>
      </w:r>
    </w:p>
    <w:p w:rsidR="00BE6A59" w:rsidRDefault="00D744F7" w:rsidP="006F7AC8">
      <w:pPr>
        <w:spacing w:before="120" w:after="120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Podugovaranje nije dozvoljeno.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Kriterijumi za dodelu Ugovora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U slučaju dobijanja više od jedne ponude</w:t>
      </w:r>
      <w:r>
        <w:rPr>
          <w:rFonts w:ascii="Times New Roman" w:eastAsia="Times New Roman" w:hAnsi="Times New Roman" w:cs="Times New Roman"/>
          <w:sz w:val="24"/>
          <w:szCs w:val="24"/>
        </w:rPr>
        <w:t>: najbolji 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dnos cene i kvaliteta, ponderisanjem 80% kvalitet, cena 20%.  </w:t>
      </w:r>
    </w:p>
    <w:p w:rsidR="00BE6A59" w:rsidRDefault="00BE6A59" w:rsidP="006F7AC8">
      <w:pPr>
        <w:tabs>
          <w:tab w:val="left" w:pos="4170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E6A59" w:rsidRDefault="00D744F7" w:rsidP="006F7AC8">
      <w:pPr>
        <w:tabs>
          <w:tab w:val="left" w:pos="3600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Kriterijumi za evaluaciju tehničke ponude:</w:t>
      </w:r>
    </w:p>
    <w:p w:rsidR="00BE6A59" w:rsidRDefault="00D744F7" w:rsidP="006F7AC8">
      <w:pPr>
        <w:numPr>
          <w:ilvl w:val="0"/>
          <w:numId w:val="1"/>
        </w:numPr>
        <w:tabs>
          <w:tab w:val="left" w:pos="450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Organizacija i metodologija: 60 poena</w:t>
      </w:r>
    </w:p>
    <w:p w:rsidR="00BE6A59" w:rsidRDefault="00D744F7" w:rsidP="006F7AC8">
      <w:pPr>
        <w:numPr>
          <w:ilvl w:val="0"/>
          <w:numId w:val="1"/>
        </w:numPr>
        <w:tabs>
          <w:tab w:val="left" w:pos="450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Predloženi inputi: 30 poena</w:t>
      </w:r>
    </w:p>
    <w:p w:rsidR="00BE6A59" w:rsidRDefault="00D744F7" w:rsidP="006F7AC8">
      <w:pPr>
        <w:numPr>
          <w:ilvl w:val="0"/>
          <w:numId w:val="1"/>
        </w:numPr>
        <w:tabs>
          <w:tab w:val="left" w:pos="450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Period izvršenja usluge: 10 poena</w:t>
      </w: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UKUPNO: 100 poena </w:t>
      </w:r>
    </w:p>
    <w:p w:rsidR="00BE6A59" w:rsidRDefault="00D744F7" w:rsidP="006F7AC8">
      <w:pPr>
        <w:tabs>
          <w:tab w:val="left" w:pos="3660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U slučaju dobijanja jedne ponude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Naručilac će proveriti da li ponuda administrativno, tehnički i finansijski ispunjava zahteve postavljene ovom tenderskom procedurom. </w:t>
      </w:r>
    </w:p>
    <w:p w:rsidR="00BE6A59" w:rsidRDefault="00D744F7" w:rsidP="006F7AC8">
      <w:pPr>
        <w:spacing w:before="120" w:after="12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Razgovori:</w:t>
      </w: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Razgovori nisu predviđeni.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Obaveštenje o dodeli Ugovora: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Uspešni ponuđač 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biti obavešten o rezultatima evaluacione procedure pisanim putem. 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Adresa i način  podnošenja ponude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Ponuđači će podneti svoje ponude koristeći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standardizovani set formulara za podnošenje dostupan u Delu B – Tehnička ponuda i u Delu C - Finansijska ponuda.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Svaki drugi propratni dokument uz ovaj poziv je poslat samo u informativne svrhe i ne zahteva menjanje kao ni podnošenje od strane ponuđača. Po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nuda se podnosi 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 originalu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Ponude koje nisu u skladu sa propisanom formom mogu biti odbijene od strane naručioca. 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 prilogu ponude, ponuđač je obavezan da priloži sledeću propratnu dokumentaciju: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Kopiju izvoda iz APR-a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(ukoliko nije javno dostupan) </w:t>
      </w:r>
      <w:r>
        <w:rPr>
          <w:rFonts w:ascii="Times New Roman" w:eastAsia="Times New Roman" w:hAnsi="Times New Roman" w:cs="Times New Roman"/>
          <w:sz w:val="24"/>
          <w:szCs w:val="24"/>
        </w:rPr>
        <w:t>ili link ka registru privrednih subjekata koji vodi Agencija za privredne registre,</w:t>
      </w:r>
    </w:p>
    <w:p w:rsidR="00BE6A59" w:rsidRDefault="00D744F7" w:rsidP="006F7AC8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kopija ugovora ILI izjava pravnog lica sa spiskom referenci kojima se dokazuje predmetna kvalifikacija.</w:t>
      </w: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</w:p>
    <w:p w:rsidR="00BE6A59" w:rsidRDefault="00BE6A59" w:rsidP="006F7AC8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Ponude se podnose u zapečaćenim kovertama, koje treba da sadrže sledeće informacije:</w:t>
      </w: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Ime i adresa ponuđača: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Ustanova za izradu tapiserija "Atelje 61"</w:t>
      </w: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Petrovaradinska tvrđava 9</w:t>
      </w: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21131 Petrovaradin 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Kontakt lice: Anita Živković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Naziv tendera: Nabavka uslug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 obaveznog komunikacijskog paketa i nabavka promo materijala za potrebe projekta Umetničko carstvo bez granica kroz prilike i znanje (Borderless Artistic Realm Through Opportunities and Knowledge –BARTOK)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Referentni broj:  HUSRB/23R/22/060/4.6.1. i 4.7.7.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Naznaku: ‘’Not to be opened before the tender opening session’’ (“Ne otvarati pre sastanka za otvaranje ponuda’’)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Ponude se moraju podneti korišćenjem sistema dvostrukih koverti, jedan  spoljašnji paket ili koverta mora sadržati dve zasebne zapečaćene koverte, jedna sa naznakom "Tehnička ponuda" – Deo B a druga sa naznakom "Finansijska ponuda" – Deo C. Bilo kakvo odst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upanje od ovog pravila (npr. nezapečaćene koverte ili navođenje cene u tehničkoj ponudi) smatraće se kršenjem pravila i vodiće odbijanju ponude. 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Ponude se podnose lično, poštom ili kurirskom službom na sledeću adresu: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Ustanova za izradu tapiserija "Atel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je 61"</w:t>
      </w: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Petrovaradinska tvrđava 9</w:t>
      </w: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21131 Petrovaradin </w:t>
      </w: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Kontakt lice: Anita Živković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Ponuđači se podsećaju da će se uzeti u razmatranje samo ponude pristigle do krajnjeg roka koji je gore naveden. 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numPr>
          <w:ilvl w:val="0"/>
          <w:numId w:val="3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TEHNIČKE INFORMACIJE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Ponuđači su u obavezi da pruže dole n</w:t>
      </w:r>
      <w:r>
        <w:rPr>
          <w:rFonts w:ascii="Times New Roman" w:eastAsia="Times New Roman" w:hAnsi="Times New Roman" w:cs="Times New Roman"/>
          <w:sz w:val="24"/>
          <w:szCs w:val="24"/>
        </w:rPr>
        <w:t>avedene usluge. U svojoj tehničkoj ponudi ponuđači treba detaljnije da opišu tražene usluge a prema dole postavljenim zahtevima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7AC8" w:rsidRDefault="006F7AC8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7AC8" w:rsidRDefault="006F7AC8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7AC8" w:rsidRDefault="006F7AC8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2.1.Aktivnosti:</w:t>
      </w:r>
    </w:p>
    <w:p w:rsidR="00BE6A59" w:rsidRDefault="00BE6A59" w:rsidP="006F7AC8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BE6A59" w:rsidRDefault="00D744F7" w:rsidP="006F7AC8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Nabavka usluge obaveznog komunikacijskog paketa i nabavka promo materijala za potrebe  projekta Umetničko carstvo bez granica kroz prilike i znanje (Borderless Artistic Realm Through Opportunities and Knowledge –BARTOK)</w:t>
      </w:r>
    </w:p>
    <w:p w:rsidR="00BE6A59" w:rsidRDefault="00BE6A59" w:rsidP="006F7AC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rPr>
          <w:rFonts w:ascii="Arial" w:eastAsia="Arial" w:hAnsi="Arial" w:cs="Arial"/>
          <w:color w:val="000000"/>
        </w:rPr>
      </w:pPr>
    </w:p>
    <w:p w:rsidR="00BE6A59" w:rsidRDefault="00D744F7" w:rsidP="006F7AC8">
      <w:pPr>
        <w:spacing w:after="0"/>
        <w:ind w:left="0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Tabela aktivnosti</w:t>
      </w:r>
    </w:p>
    <w:tbl>
      <w:tblPr>
        <w:tblStyle w:val="a1"/>
        <w:tblW w:w="9540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0"/>
        <w:gridCol w:w="4950"/>
        <w:gridCol w:w="1710"/>
        <w:gridCol w:w="1890"/>
      </w:tblGrid>
      <w:tr w:rsidR="00BE6A59">
        <w:trPr>
          <w:trHeight w:val="944"/>
        </w:trPr>
        <w:tc>
          <w:tcPr>
            <w:tcW w:w="990" w:type="dxa"/>
            <w:shd w:val="clear" w:color="auto" w:fill="D9D9D9"/>
          </w:tcPr>
          <w:p w:rsidR="00BE6A59" w:rsidRDefault="00D744F7" w:rsidP="006F7AC8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Redni broj</w:t>
            </w:r>
          </w:p>
        </w:tc>
        <w:tc>
          <w:tcPr>
            <w:tcW w:w="4950" w:type="dxa"/>
            <w:shd w:val="clear" w:color="auto" w:fill="D9D9D9"/>
          </w:tcPr>
          <w:p w:rsidR="00BE6A59" w:rsidRDefault="00D744F7" w:rsidP="006F7AC8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Opis očekivanih rezultata koje je potrebno postići</w:t>
            </w:r>
          </w:p>
        </w:tc>
        <w:tc>
          <w:tcPr>
            <w:tcW w:w="1710" w:type="dxa"/>
            <w:shd w:val="clear" w:color="auto" w:fill="D9D9D9"/>
          </w:tcPr>
          <w:p w:rsidR="00BE6A59" w:rsidRDefault="00D744F7" w:rsidP="006F7AC8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Potrebni vremenski okvir</w:t>
            </w:r>
          </w:p>
        </w:tc>
        <w:tc>
          <w:tcPr>
            <w:tcW w:w="1890" w:type="dxa"/>
            <w:shd w:val="clear" w:color="auto" w:fill="D9D9D9"/>
          </w:tcPr>
          <w:p w:rsidR="00BE6A59" w:rsidRDefault="00D744F7" w:rsidP="006F7AC8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Traženi inputi (ciljna grupa)</w:t>
            </w:r>
          </w:p>
        </w:tc>
      </w:tr>
      <w:tr w:rsidR="00BE6A59">
        <w:tc>
          <w:tcPr>
            <w:tcW w:w="990" w:type="dxa"/>
          </w:tcPr>
          <w:p w:rsidR="00BE6A59" w:rsidRDefault="00D744F7" w:rsidP="006F7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50" w:type="dxa"/>
            <w:vAlign w:val="center"/>
          </w:tcPr>
          <w:p w:rsidR="00BE6A59" w:rsidRDefault="00D744F7" w:rsidP="006F7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Ažuriranje informacija o projektu na podstranici projekta na programskom sajtu </w:t>
            </w:r>
          </w:p>
          <w:p w:rsidR="00BE6A59" w:rsidRDefault="00D744F7" w:rsidP="006F7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(www.hungary-serbia.eu/projects/)</w:t>
            </w:r>
          </w:p>
          <w:p w:rsidR="00BE6A59" w:rsidRDefault="00BE6A59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BE6A59" w:rsidRDefault="00D744F7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Prvi, drugi, treći i četvrti, peti izveštajni period</w:t>
            </w:r>
          </w:p>
        </w:tc>
        <w:tc>
          <w:tcPr>
            <w:tcW w:w="1890" w:type="dxa"/>
          </w:tcPr>
          <w:p w:rsidR="00BE6A59" w:rsidRDefault="00BE6A59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6A59" w:rsidRDefault="00D744F7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Šira javnost</w:t>
            </w:r>
          </w:p>
        </w:tc>
      </w:tr>
      <w:tr w:rsidR="00BE6A59">
        <w:tc>
          <w:tcPr>
            <w:tcW w:w="990" w:type="dxa"/>
          </w:tcPr>
          <w:p w:rsidR="00BE6A59" w:rsidRDefault="00D744F7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50" w:type="dxa"/>
            <w:vAlign w:val="center"/>
          </w:tcPr>
          <w:p w:rsidR="00BE6A59" w:rsidRDefault="00D744F7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Ažuriranje informacija o projektu na Fejsbuk profilu projekta na srpskom i engleskom jeziku po potrebi</w:t>
            </w:r>
          </w:p>
          <w:p w:rsidR="00BE6A59" w:rsidRDefault="00D744F7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Minimum 2 objave mesečno, svih 20 meseci trajanja projekta</w:t>
            </w:r>
          </w:p>
        </w:tc>
        <w:tc>
          <w:tcPr>
            <w:tcW w:w="1710" w:type="dxa"/>
            <w:vAlign w:val="center"/>
          </w:tcPr>
          <w:p w:rsidR="00BE6A59" w:rsidRDefault="00D744F7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Prvi, drugi, treći i čet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vrti, peti izveštajni period</w:t>
            </w:r>
          </w:p>
        </w:tc>
        <w:tc>
          <w:tcPr>
            <w:tcW w:w="1890" w:type="dxa"/>
          </w:tcPr>
          <w:p w:rsidR="00BE6A59" w:rsidRDefault="00BE6A59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6A59" w:rsidRDefault="00D744F7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Šira javnost</w:t>
            </w:r>
          </w:p>
        </w:tc>
      </w:tr>
      <w:tr w:rsidR="00BE6A59">
        <w:tc>
          <w:tcPr>
            <w:tcW w:w="990" w:type="dxa"/>
          </w:tcPr>
          <w:p w:rsidR="00BE6A59" w:rsidRDefault="00D744F7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50" w:type="dxa"/>
            <w:vAlign w:val="center"/>
          </w:tcPr>
          <w:p w:rsidR="00BE6A59" w:rsidRDefault="00D744F7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 vremenski odvojenih saopštenja za javnost u lokalnim online medijima od početka projekta</w:t>
            </w:r>
          </w:p>
        </w:tc>
        <w:tc>
          <w:tcPr>
            <w:tcW w:w="1710" w:type="dxa"/>
            <w:vAlign w:val="center"/>
          </w:tcPr>
          <w:p w:rsidR="00BE6A59" w:rsidRDefault="00D744F7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 skladu sa dinamikom realizacije projektnih aktivnosti</w:t>
            </w:r>
          </w:p>
        </w:tc>
        <w:tc>
          <w:tcPr>
            <w:tcW w:w="1890" w:type="dxa"/>
          </w:tcPr>
          <w:p w:rsidR="00BE6A59" w:rsidRDefault="00BE6A59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6A59" w:rsidRDefault="00D744F7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Šira javnost</w:t>
            </w:r>
          </w:p>
        </w:tc>
      </w:tr>
      <w:tr w:rsidR="00BE6A59">
        <w:trPr>
          <w:trHeight w:val="665"/>
        </w:trPr>
        <w:tc>
          <w:tcPr>
            <w:tcW w:w="990" w:type="dxa"/>
          </w:tcPr>
          <w:p w:rsidR="00BE6A59" w:rsidRDefault="00D744F7" w:rsidP="006F7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50" w:type="dxa"/>
            <w:vAlign w:val="center"/>
          </w:tcPr>
          <w:p w:rsidR="00BE6A59" w:rsidRDefault="00D744F7" w:rsidP="006F7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 Sponzorisana članka ili banera o rezultatima projekta sa elementima definisanim u </w:t>
            </w:r>
          </w:p>
          <w:p w:rsidR="00BE6A59" w:rsidRDefault="00D744F7" w:rsidP="006F7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Visual identity manual &amp; </w:t>
            </w:r>
          </w:p>
          <w:p w:rsidR="00BE6A59" w:rsidRDefault="00D744F7" w:rsidP="006F7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Information and publicity guidelines,  Updated version: 04 June 2024</w:t>
            </w:r>
          </w:p>
          <w:p w:rsidR="00BE6A59" w:rsidRDefault="00BE6A59" w:rsidP="006F7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BE6A59" w:rsidRDefault="00D744F7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 skladu sa dinamikom realizacije projektnih aktivnosti</w:t>
            </w:r>
          </w:p>
        </w:tc>
        <w:tc>
          <w:tcPr>
            <w:tcW w:w="1890" w:type="dxa"/>
          </w:tcPr>
          <w:p w:rsidR="00BE6A59" w:rsidRDefault="00BE6A59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6A59" w:rsidRDefault="00BE6A59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6A59" w:rsidRDefault="00BE6A59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6A59" w:rsidRDefault="00D744F7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Šira javnost</w:t>
            </w:r>
          </w:p>
        </w:tc>
      </w:tr>
      <w:tr w:rsidR="00BE6A59">
        <w:tc>
          <w:tcPr>
            <w:tcW w:w="990" w:type="dxa"/>
          </w:tcPr>
          <w:p w:rsidR="00BE6A59" w:rsidRDefault="00D744F7" w:rsidP="006F7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50" w:type="dxa"/>
            <w:vAlign w:val="center"/>
          </w:tcPr>
          <w:p w:rsidR="00BE6A59" w:rsidRDefault="00D744F7" w:rsidP="006F7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 lokalna TV ili radio saopštenja ili spota u vremenskom trajanju od ukupno 4 minuta sa elementima definisanim u </w:t>
            </w:r>
          </w:p>
          <w:p w:rsidR="00BE6A59" w:rsidRDefault="00D744F7" w:rsidP="006F7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Visual identity manual &amp; </w:t>
            </w:r>
          </w:p>
          <w:p w:rsidR="00BE6A59" w:rsidRDefault="00D744F7" w:rsidP="006F7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Information and publicity guidelines,  Updated version: 04 June 2024</w:t>
            </w:r>
          </w:p>
          <w:p w:rsidR="00BE6A59" w:rsidRDefault="00BE6A59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BE6A59" w:rsidRDefault="00D744F7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 skladu sa dinamikom realizacije projektnih 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ktivnosti</w:t>
            </w:r>
          </w:p>
        </w:tc>
        <w:tc>
          <w:tcPr>
            <w:tcW w:w="1890" w:type="dxa"/>
          </w:tcPr>
          <w:p w:rsidR="00BE6A59" w:rsidRDefault="00BE6A59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6A59" w:rsidRDefault="00BE6A59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6A59" w:rsidRDefault="00BE6A59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6A59" w:rsidRDefault="00D744F7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Šira javnost</w:t>
            </w:r>
          </w:p>
        </w:tc>
      </w:tr>
      <w:tr w:rsidR="00BE6A59">
        <w:tc>
          <w:tcPr>
            <w:tcW w:w="990" w:type="dxa"/>
          </w:tcPr>
          <w:p w:rsidR="00BE6A59" w:rsidRDefault="00D744F7" w:rsidP="006F7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50" w:type="dxa"/>
            <w:vAlign w:val="center"/>
          </w:tcPr>
          <w:p w:rsidR="00BE6A59" w:rsidRDefault="00D744F7" w:rsidP="006F7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spot na nacionalnoj TV, ili radio saopštenja sa elementima definisanim u </w:t>
            </w:r>
          </w:p>
          <w:p w:rsidR="00BE6A59" w:rsidRDefault="00D744F7" w:rsidP="006F7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Visual identity manual &amp; </w:t>
            </w:r>
          </w:p>
          <w:p w:rsidR="00BE6A59" w:rsidRDefault="00D744F7" w:rsidP="006F7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Information and publicity guidelines,  Updated version: 04 June 2024</w:t>
            </w:r>
          </w:p>
          <w:p w:rsidR="00BE6A59" w:rsidRDefault="00BE6A59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BE6A59" w:rsidRDefault="00D744F7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 skladu sa dinamikom realizacije projektnih aktivnosti</w:t>
            </w:r>
          </w:p>
        </w:tc>
        <w:tc>
          <w:tcPr>
            <w:tcW w:w="1890" w:type="dxa"/>
          </w:tcPr>
          <w:p w:rsidR="00BE6A59" w:rsidRDefault="00BE6A59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6A59" w:rsidRDefault="00BE6A59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6A59" w:rsidRDefault="00D744F7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Šira javnost</w:t>
            </w:r>
          </w:p>
        </w:tc>
      </w:tr>
      <w:tr w:rsidR="00BE6A59">
        <w:tc>
          <w:tcPr>
            <w:tcW w:w="990" w:type="dxa"/>
          </w:tcPr>
          <w:p w:rsidR="00BE6A59" w:rsidRDefault="00D744F7" w:rsidP="006F7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50" w:type="dxa"/>
            <w:vAlign w:val="center"/>
          </w:tcPr>
          <w:p w:rsidR="00BE6A59" w:rsidRDefault="00D744F7" w:rsidP="006F7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Usluga izrade promo materijala sa programskim logoom (bedževi/olovke 200 komada) u skladu sa elementima definisanim u Visual identity manual &amp; </w:t>
            </w:r>
          </w:p>
          <w:p w:rsidR="00BE6A59" w:rsidRDefault="00D744F7" w:rsidP="006F7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Information and publicity guidelines,  Updated version: 04 June 2024</w:t>
            </w:r>
          </w:p>
          <w:p w:rsidR="00BE6A59" w:rsidRDefault="00BE6A59" w:rsidP="006F7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BE6A59" w:rsidRDefault="00D744F7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Prvi izveštajni period</w:t>
            </w:r>
          </w:p>
        </w:tc>
        <w:tc>
          <w:tcPr>
            <w:tcW w:w="1890" w:type="dxa"/>
          </w:tcPr>
          <w:p w:rsidR="00BE6A59" w:rsidRDefault="00BE6A59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6A59" w:rsidRDefault="00BE6A59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6A59" w:rsidRDefault="00D744F7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Šira javnost, publika, učesnici u projektu</w:t>
            </w:r>
          </w:p>
        </w:tc>
      </w:tr>
      <w:tr w:rsidR="00BE6A59">
        <w:tc>
          <w:tcPr>
            <w:tcW w:w="990" w:type="dxa"/>
          </w:tcPr>
          <w:p w:rsidR="00BE6A59" w:rsidRDefault="00D744F7" w:rsidP="006F7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950" w:type="dxa"/>
            <w:vAlign w:val="center"/>
          </w:tcPr>
          <w:p w:rsidR="00BE6A59" w:rsidRDefault="00D744F7" w:rsidP="006F7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Usluga dizajna i štampe roll up na srpskom i mađarskom jeziku u skladu sa elementima definisanim u Visual identity manual &amp; </w:t>
            </w:r>
          </w:p>
          <w:p w:rsidR="00BE6A59" w:rsidRDefault="00D744F7" w:rsidP="006F7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Information and publicity guidelines,  Updated version: 04 June 2024</w:t>
            </w:r>
          </w:p>
          <w:p w:rsidR="00BE6A59" w:rsidRDefault="00BE6A59" w:rsidP="006F7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BE6A59" w:rsidRDefault="00D744F7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Prvi izveštaj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ni period</w:t>
            </w:r>
          </w:p>
        </w:tc>
        <w:tc>
          <w:tcPr>
            <w:tcW w:w="1890" w:type="dxa"/>
          </w:tcPr>
          <w:p w:rsidR="00BE6A59" w:rsidRDefault="00BE6A59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6A59" w:rsidRDefault="00D744F7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Šira javnost, publika, učesnici u projektu</w:t>
            </w:r>
          </w:p>
        </w:tc>
      </w:tr>
      <w:tr w:rsidR="00BE6A59">
        <w:trPr>
          <w:trHeight w:val="796"/>
        </w:trPr>
        <w:tc>
          <w:tcPr>
            <w:tcW w:w="990" w:type="dxa"/>
          </w:tcPr>
          <w:p w:rsidR="00BE6A59" w:rsidRDefault="00D744F7" w:rsidP="006F7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950" w:type="dxa"/>
            <w:vAlign w:val="center"/>
          </w:tcPr>
          <w:p w:rsidR="00BE6A59" w:rsidRDefault="00D744F7" w:rsidP="006F7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Dizajn i štampa stikera za opremu sa elementima definisanim u </w:t>
            </w:r>
          </w:p>
          <w:p w:rsidR="00BE6A59" w:rsidRDefault="00D744F7" w:rsidP="006F7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Visual identity manual &amp; </w:t>
            </w:r>
          </w:p>
          <w:p w:rsidR="00BE6A59" w:rsidRDefault="00D744F7" w:rsidP="006F7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Information and publicity guidelines,  Updated version: 04 June 2024</w:t>
            </w:r>
          </w:p>
        </w:tc>
        <w:tc>
          <w:tcPr>
            <w:tcW w:w="1710" w:type="dxa"/>
            <w:vAlign w:val="center"/>
          </w:tcPr>
          <w:p w:rsidR="00BE6A59" w:rsidRDefault="00D744F7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Drugi izveštajni period</w:t>
            </w:r>
          </w:p>
        </w:tc>
        <w:tc>
          <w:tcPr>
            <w:tcW w:w="1890" w:type="dxa"/>
          </w:tcPr>
          <w:p w:rsidR="00BE6A59" w:rsidRDefault="00BE6A59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6A59" w:rsidRDefault="00D744F7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BE6A59" w:rsidRDefault="00BE6A59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6A59" w:rsidRDefault="00D744F7" w:rsidP="006F7AC8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Šira javnost</w:t>
            </w:r>
          </w:p>
        </w:tc>
      </w:tr>
    </w:tbl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Zahtevani inputi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Kvalifikacije za pravno lice kao podnosioca ponude za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Nabavku usluge obaveznog komunikacijskog paketa i nabavka promo materijala za potrebe  projekta Umetničko carstvo bez granica kroz prilike i znanje (Borderless Artistic Realm Through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Opportunities and Knowledge –BARTOK)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BE6A59" w:rsidRDefault="00D744F7" w:rsidP="006F7AC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360" w:firstLineChars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 ima kapacitet da obezbedi medijske objave u medijima sa regionalnom ili nacionalnom pokrivenošću (min. 1 referenca o saradnji sa medijskim kućama);</w:t>
      </w:r>
    </w:p>
    <w:p w:rsidR="00BE6A59" w:rsidRDefault="00D744F7" w:rsidP="006F7AC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360" w:firstLineChars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 ima prethodno iskustvo u vođenju profila na društvenim mrežama za pravna lica (min. 1 referenca o vođenju profila na društvenim mrežama za pravna lica);</w:t>
      </w:r>
    </w:p>
    <w:p w:rsidR="00BE6A59" w:rsidRDefault="00D744F7" w:rsidP="006F7AC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360" w:firstLineChars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 ima iskustva u dizajnu i pripremi za štampu promo materijala (min. 1 referenca za dizajn i pripre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mu za štampu promo materijala, ili štampe promo materijala).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Dokaz koji se prilaže uz ponudu:</w:t>
      </w:r>
    </w:p>
    <w:p w:rsidR="00BE6A59" w:rsidRDefault="00D744F7" w:rsidP="006F7AC8">
      <w:pPr>
        <w:numPr>
          <w:ilvl w:val="2"/>
          <w:numId w:val="5"/>
        </w:numPr>
        <w:spacing w:after="0"/>
        <w:ind w:leftChars="0" w:left="270" w:firstLineChars="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sz w:val="24"/>
          <w:szCs w:val="24"/>
        </w:rPr>
        <w:t>kopija ugovora ILI izjava pravnog lica sa spiskom referenci kojima se dokazuju predmetne kvalifikacije.</w:t>
      </w:r>
    </w:p>
    <w:bookmarkEnd w:id="0"/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Period izvršenja usluge: Otvarajuća konferencija se plan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ira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za decembar 2024 i ponuđač je u obavezi da period izvršenja usluga uskladi sa zahtevima. Ostale aktivnosti se sprovode u periodu n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ovembar 2024-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aj 2026.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numPr>
          <w:ilvl w:val="0"/>
          <w:numId w:val="3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DODATNE INFORMACIJE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Neuspešni/uspešni ponuđači će biti informisani o rezultatima evaluacije. U tom slučaju Naručilac će poslati obaveštenje uspešnom ponuđaču i objaviti na web sajtu ime uspešnog ponuđača napominjući da “preostale ponude nisu admisistrativno/tehnički/finansijs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ki usklađene.”  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Dodatna informacija za Ponuđače u vezi sa dinamikom plaćanja:</w:t>
      </w: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Aktivnosti  1,2,3,4,5,6,8,9 spadaju u obavezan komunikacijski paket prema pravilima programa i plaćanja za ove usluge vrše se na sledeći način: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50%  od iznosa od 5.100 e kada se urade sledeći:</w:t>
      </w:r>
    </w:p>
    <w:p w:rsidR="00BE6A59" w:rsidRDefault="00D744F7" w:rsidP="006F7AC8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kada se izvrše sledeće usluge: kreira podstranica projekta na programskom sajtu, kreira stranica projekta na društvenim stranicama (facebook)</w:t>
      </w:r>
    </w:p>
    <w:p w:rsidR="00BE6A59" w:rsidRDefault="00D744F7" w:rsidP="006F7AC8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objavi /proizvede jedno press release (saopštenje) i dostavi doka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z za to</w:t>
      </w:r>
    </w:p>
    <w:p w:rsidR="00BE6A59" w:rsidRDefault="00D744F7" w:rsidP="006F7AC8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dizajniraju i dostave naručiocu 2 roll upa (1 na srpskom i 1 na mađarskom jeziku)</w:t>
      </w:r>
    </w:p>
    <w:p w:rsidR="00BE6A59" w:rsidRDefault="00D744F7" w:rsidP="006F7AC8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objavi 1 sponzorisani članak i dostavi dokaz za to</w:t>
      </w:r>
    </w:p>
    <w:p w:rsidR="00BE6A59" w:rsidRDefault="00D744F7" w:rsidP="006F7AC8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objavi/realizuje 1 lokalni TV ili radio izveštaj (i dostavi dokaz za to)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Preostalih 50% nakon što se izvrše sve pr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eostale obaveze po tačkama 1,2,3,4,5,6,8 i 9.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Tačka 7. se može fakturisati nakon što se isporuči promo materijal naručiocu.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Poverljivost</w:t>
      </w:r>
    </w:p>
    <w:p w:rsidR="00BE6A59" w:rsidRDefault="00D744F7" w:rsidP="006F7AC8">
      <w:pPr>
        <w:pStyle w:val="Heading3"/>
        <w:spacing w:before="280" w:after="280"/>
        <w:ind w:left="0" w:hanging="2"/>
        <w:jc w:val="both"/>
        <w:rPr>
          <w:b w:val="0"/>
        </w:rPr>
      </w:pPr>
      <w:r>
        <w:rPr>
          <w:b w:val="0"/>
          <w:sz w:val="24"/>
          <w:szCs w:val="24"/>
        </w:rPr>
        <w:t>Celokupna procedura evaluacije je poverljiva, i podleže zakonima naručioca koji se odnose na pristup dokumentima. Od</w:t>
      </w:r>
      <w:r>
        <w:rPr>
          <w:b w:val="0"/>
          <w:sz w:val="24"/>
          <w:szCs w:val="24"/>
        </w:rPr>
        <w:t>luke evaluacione komisije su kolektivne i ona odluke donosi na zatvorenim sastancima. Članovi evaluacione komisije su se obavezali na tajnost. Evaluacioni izveštaji i pisana dokumenta su namenjena samo za službenu upotrebu i ne smeju se prenositi ni ponuđa</w:t>
      </w:r>
      <w:r>
        <w:rPr>
          <w:b w:val="0"/>
          <w:sz w:val="24"/>
          <w:szCs w:val="24"/>
        </w:rPr>
        <w:t xml:space="preserve">čima ni bilo kome drugome osim naručiocu, Evropskoj Komisiji, Evropskoj službi za suzbijanje prevara (OLAF) i Evropskom revizorskom sudu. 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2"/>
        <w:tblW w:w="9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BE6A59">
        <w:tc>
          <w:tcPr>
            <w:tcW w:w="9000" w:type="dxa"/>
          </w:tcPr>
          <w:p w:rsidR="00BE6A59" w:rsidRDefault="00D744F7" w:rsidP="006F7AC8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NE POPUNJAVATI PRE POTPISIVANJA UGOVORA </w:t>
            </w:r>
          </w:p>
        </w:tc>
      </w:tr>
      <w:tr w:rsidR="00BE6A59">
        <w:tc>
          <w:tcPr>
            <w:tcW w:w="9000" w:type="dxa"/>
          </w:tcPr>
          <w:p w:rsidR="00BE6A59" w:rsidRDefault="00D744F7" w:rsidP="006F7AC8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NE PODNOSITI U OKVIRU PONUDE!!!</w:t>
            </w:r>
          </w:p>
        </w:tc>
      </w:tr>
    </w:tbl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FORMAT UGOVORA IZMEĐU IZVRŠIOCA I NARUČIOCA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NAZIV UGOVORA: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naziv ugovora</w:t>
      </w: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REF: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referentni broj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Zaključen između: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Poslovno ime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&gt;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 xml:space="preserve"> </w:t>
      </w: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Adresa naručioca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(Naručilac)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Poslovno ime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&gt;</w:t>
      </w: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Adresa izvršioca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&gt;</w:t>
      </w: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Matični broj/PIB broj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&gt;</w:t>
      </w: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(Izvršilac)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 1: Predmet Ugovora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Predmet Ugovora je &lt;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usluga</w:t>
      </w:r>
      <w:r>
        <w:rPr>
          <w:rFonts w:ascii="Times New Roman" w:eastAsia="Times New Roman" w:hAnsi="Times New Roman" w:cs="Times New Roman"/>
          <w:sz w:val="24"/>
          <w:szCs w:val="24"/>
        </w:rPr>
        <w:t>&gt; kao što je i navedeno u ponudi izvršioca – ‘’Deo B: Format ponude koji popunjava ponuđač’’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 2: Vrednost Ugovora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Ukupna vrednost Ugovora za pružanje usluga iz Člana 1 je: &lt;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XXX EUR/RSD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uključujući/isključujući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PDV. 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 sve partnere:</w:t>
      </w: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 skladu sa IPA implementacionom regulativom, za sve partnere PDV može biti prihvatljiv trošak. Naručilac će platiti jedinične cene, 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ko je navedeno u finansijskoj ponudi kao i PDV ukoliko je isti prihvatljiv i jasno naveden na računu. </w:t>
      </w: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 ovaj ugovor PDV je [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prihvatljiv / neprihvatljiv]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trošak.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 3: Ugovorna dokumentacija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Dokumenta koja čine deo ovog ugovora su (po prioritetu):</w:t>
      </w:r>
    </w:p>
    <w:p w:rsidR="00BE6A59" w:rsidRDefault="00D744F7" w:rsidP="006F7AC8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Ugo</w:t>
      </w:r>
      <w:r>
        <w:rPr>
          <w:rFonts w:ascii="Times New Roman" w:eastAsia="Times New Roman" w:hAnsi="Times New Roman" w:cs="Times New Roman"/>
          <w:sz w:val="24"/>
          <w:szCs w:val="24"/>
        </w:rPr>
        <w:t>vor</w:t>
      </w:r>
    </w:p>
    <w:p w:rsidR="00BE6A59" w:rsidRDefault="00D744F7" w:rsidP="006F7AC8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Ponuda izvršioca koja je obezbeđena u tenderskoj fazi – ‘’Deo B: Format ponude koji popunjava ponuđač ’’</w:t>
      </w:r>
    </w:p>
    <w:p w:rsidR="00BE6A59" w:rsidRDefault="00D744F7" w:rsidP="006F7AC8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Finansijska ponuda izvršioca –“ Deo C: Format finansijske ponude”</w:t>
      </w:r>
    </w:p>
    <w:p w:rsidR="00BE6A59" w:rsidRDefault="00D744F7" w:rsidP="006F7AC8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Sva druga prateća dokumentacija ukoliko je tražena (* - u slučaju zahteva za dost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avom izvoda iz APR-a ili drugih informacija)  </w:t>
      </w: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Za sva pitanja koja nisu definisana ovim Ugovorom biće primenjena pravila predviđena Opštim uslovima (General conditions) </w:t>
      </w:r>
    </w:p>
    <w:tbl>
      <w:tblPr>
        <w:tblStyle w:val="a3"/>
        <w:tblW w:w="9176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30"/>
        <w:gridCol w:w="6926"/>
      </w:tblGrid>
      <w:tr w:rsidR="00BE6A59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E6A59" w:rsidRDefault="00D744F7" w:rsidP="006F7AC8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B8d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E6A59" w:rsidRDefault="00D744F7" w:rsidP="006F7AC8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Nacrt Ugovora: Opšti uslovi</w:t>
            </w:r>
          </w:p>
        </w:tc>
        <w:tc>
          <w:tcPr>
            <w:tcW w:w="6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E6A59" w:rsidRDefault="00D744F7" w:rsidP="006F7AC8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https://wikis.ec.europa.eu/download/attachments/44168995/b8d_annexigc_en.pdf</w:t>
              </w:r>
            </w:hyperlink>
          </w:p>
        </w:tc>
      </w:tr>
    </w:tbl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" w:anchor="Annexes-AnnexesB(Ch.3):Servicecontracts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https://wikis.ec.europa.eu/display/ExactExternalWiki/Annexes#Annexes-AnnexesB(Ch.3):Servicecontracts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 4: Pružanje usluga i plaćanja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Izvršilac će bezrezervno pružiti usluge kao što je i navedeno u ponudi izv</w:t>
      </w:r>
      <w:r>
        <w:rPr>
          <w:rFonts w:ascii="Times New Roman" w:eastAsia="Times New Roman" w:hAnsi="Times New Roman" w:cs="Times New Roman"/>
          <w:sz w:val="24"/>
          <w:szCs w:val="24"/>
        </w:rPr>
        <w:t>ršioca ‘’Deo B: Format ponude koju popunjava ponuđač’’. Pružanje usluga će biti implementirano u okviru navedenih datuma.</w:t>
      </w: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Naručilac će platiti izvršiocu usluge u iznosu koji je naveden u Članu 2 ovog Ugovora. 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 slučaju da je Ugovor zaključen u EUR, a pla</w:t>
      </w:r>
      <w:r>
        <w:rPr>
          <w:rFonts w:ascii="Times New Roman" w:eastAsia="Times New Roman" w:hAnsi="Times New Roman" w:cs="Times New Roman"/>
          <w:sz w:val="24"/>
          <w:szCs w:val="24"/>
        </w:rPr>
        <w:t>ćanja u RSD, kurs koji se primenjuje mora biti InforEuro kurs za mesec izdavanja fakture ili profakture u slučaju oslobađanja od PDV-a.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Plaćanja će biti izvršena prema sledećem vremenskom rasporedu.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</w:rPr>
      </w:pPr>
    </w:p>
    <w:tbl>
      <w:tblPr>
        <w:tblStyle w:val="a4"/>
        <w:tblpPr w:leftFromText="180" w:rightFromText="180" w:vertAnchor="text" w:tblpX="108" w:tblpY="1"/>
        <w:tblW w:w="901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4509"/>
        <w:gridCol w:w="2781"/>
      </w:tblGrid>
      <w:tr w:rsidR="00BE6A59">
        <w:trPr>
          <w:cantSplit/>
          <w:trHeight w:val="345"/>
        </w:trPr>
        <w:tc>
          <w:tcPr>
            <w:tcW w:w="1728" w:type="dxa"/>
          </w:tcPr>
          <w:p w:rsidR="00BE6A59" w:rsidRDefault="00D744F7" w:rsidP="006F7AC8">
            <w:pPr>
              <w:keepNext/>
              <w:spacing w:before="40" w:after="40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yellow"/>
              </w:rPr>
              <w:t>Dan/Mesec</w:t>
            </w:r>
          </w:p>
        </w:tc>
        <w:tc>
          <w:tcPr>
            <w:tcW w:w="4509" w:type="dxa"/>
          </w:tcPr>
          <w:p w:rsidR="00BE6A59" w:rsidRDefault="00BE6A59" w:rsidP="006F7AC8">
            <w:pPr>
              <w:keepNext/>
              <w:spacing w:before="40" w:after="40"/>
              <w:ind w:left="0" w:hanging="2"/>
              <w:textDirection w:val="lrTb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1" w:type="dxa"/>
          </w:tcPr>
          <w:p w:rsidR="00BE6A59" w:rsidRDefault="00D744F7" w:rsidP="006F7AC8">
            <w:pPr>
              <w:keepNext/>
              <w:spacing w:before="40" w:after="40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&lt;</w:t>
            </w:r>
            <w:r>
              <w:rPr>
                <w:rFonts w:ascii="Times New Roman" w:eastAsia="Times New Roman" w:hAnsi="Times New Roman" w:cs="Times New Roman"/>
                <w:b/>
                <w:highlight w:val="yellow"/>
              </w:rPr>
              <w:t>EUR/RSD</w:t>
            </w:r>
            <w:r>
              <w:rPr>
                <w:rFonts w:ascii="Times New Roman" w:eastAsia="Times New Roman" w:hAnsi="Times New Roman" w:cs="Times New Roman"/>
                <w:b/>
              </w:rPr>
              <w:t>&gt;</w:t>
            </w:r>
          </w:p>
        </w:tc>
      </w:tr>
      <w:tr w:rsidR="00BE6A59">
        <w:trPr>
          <w:cantSplit/>
          <w:trHeight w:val="665"/>
        </w:trPr>
        <w:tc>
          <w:tcPr>
            <w:tcW w:w="1728" w:type="dxa"/>
            <w:tcBorders>
              <w:bottom w:val="nil"/>
            </w:tcBorders>
          </w:tcPr>
          <w:p w:rsidR="00BE6A59" w:rsidRDefault="00D744F7" w:rsidP="006F7AC8">
            <w:pPr>
              <w:spacing w:before="40" w:after="40" w:line="240" w:lineRule="auto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Okvirno decembar 2024</w:t>
            </w:r>
          </w:p>
        </w:tc>
        <w:tc>
          <w:tcPr>
            <w:tcW w:w="4509" w:type="dxa"/>
            <w:tcBorders>
              <w:bottom w:val="nil"/>
            </w:tcBorders>
          </w:tcPr>
          <w:p w:rsidR="00BE6A59" w:rsidRDefault="00D744F7" w:rsidP="006F7AC8">
            <w:pPr>
              <w:spacing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Privremena plaćanja (*ako je primenljivo)</w:t>
            </w:r>
          </w:p>
          <w:p w:rsidR="00BE6A59" w:rsidRDefault="00BE6A59" w:rsidP="006F7AC8">
            <w:pPr>
              <w:spacing w:before="40" w:after="4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1" w:type="dxa"/>
            <w:tcBorders>
              <w:bottom w:val="nil"/>
            </w:tcBorders>
          </w:tcPr>
          <w:p w:rsidR="00BE6A59" w:rsidRDefault="00D744F7" w:rsidP="006F7AC8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Okvirno 2000e</w:t>
            </w:r>
          </w:p>
        </w:tc>
      </w:tr>
      <w:tr w:rsidR="00BE6A59">
        <w:trPr>
          <w:cantSplit/>
          <w:trHeight w:val="665"/>
        </w:trPr>
        <w:tc>
          <w:tcPr>
            <w:tcW w:w="1728" w:type="dxa"/>
            <w:tcBorders>
              <w:bottom w:val="nil"/>
            </w:tcBorders>
          </w:tcPr>
          <w:p w:rsidR="00BE6A59" w:rsidRDefault="00D744F7" w:rsidP="006F7AC8">
            <w:pPr>
              <w:spacing w:before="40" w:after="40" w:line="240" w:lineRule="auto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Okvirno septembar 2025</w:t>
            </w:r>
          </w:p>
        </w:tc>
        <w:tc>
          <w:tcPr>
            <w:tcW w:w="4509" w:type="dxa"/>
            <w:tcBorders>
              <w:bottom w:val="nil"/>
            </w:tcBorders>
          </w:tcPr>
          <w:p w:rsidR="00BE6A59" w:rsidRDefault="00D744F7" w:rsidP="006F7AC8">
            <w:pPr>
              <w:spacing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Privremena plaćanja (*ako je primenljivo)</w:t>
            </w:r>
          </w:p>
          <w:p w:rsidR="00BE6A59" w:rsidRDefault="00BE6A59" w:rsidP="006F7AC8">
            <w:pPr>
              <w:spacing w:before="40" w:after="4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1" w:type="dxa"/>
            <w:tcBorders>
              <w:bottom w:val="nil"/>
            </w:tcBorders>
          </w:tcPr>
          <w:p w:rsidR="00BE6A59" w:rsidRDefault="00D744F7" w:rsidP="006F7AC8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Okvirno 1000e</w:t>
            </w:r>
          </w:p>
        </w:tc>
      </w:tr>
      <w:tr w:rsidR="00BE6A59">
        <w:trPr>
          <w:cantSplit/>
          <w:trHeight w:val="602"/>
        </w:trPr>
        <w:tc>
          <w:tcPr>
            <w:tcW w:w="1728" w:type="dxa"/>
            <w:tcBorders>
              <w:bottom w:val="nil"/>
            </w:tcBorders>
          </w:tcPr>
          <w:p w:rsidR="00BE6A59" w:rsidRDefault="00D744F7" w:rsidP="006F7AC8">
            <w:pPr>
              <w:spacing w:before="40" w:after="40" w:line="240" w:lineRule="auto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Okvirno Maj 2026</w:t>
            </w:r>
          </w:p>
        </w:tc>
        <w:tc>
          <w:tcPr>
            <w:tcW w:w="4509" w:type="dxa"/>
            <w:tcBorders>
              <w:bottom w:val="nil"/>
            </w:tcBorders>
          </w:tcPr>
          <w:p w:rsidR="00BE6A59" w:rsidRDefault="00D744F7" w:rsidP="006F7AC8">
            <w:pPr>
              <w:spacing w:before="40" w:after="4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Konačna isplata</w:t>
            </w:r>
          </w:p>
        </w:tc>
        <w:tc>
          <w:tcPr>
            <w:tcW w:w="2781" w:type="dxa"/>
            <w:tcBorders>
              <w:bottom w:val="nil"/>
            </w:tcBorders>
          </w:tcPr>
          <w:p w:rsidR="00BE6A59" w:rsidRDefault="00D744F7" w:rsidP="006F7AC8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Okvirno 3100</w:t>
            </w:r>
          </w:p>
        </w:tc>
      </w:tr>
      <w:tr w:rsidR="00BE6A59">
        <w:trPr>
          <w:cantSplit/>
          <w:trHeight w:val="398"/>
        </w:trPr>
        <w:tc>
          <w:tcPr>
            <w:tcW w:w="1728" w:type="dxa"/>
            <w:tcBorders>
              <w:top w:val="dotted" w:sz="4" w:space="0" w:color="000000"/>
              <w:bottom w:val="single" w:sz="4" w:space="0" w:color="000000"/>
            </w:tcBorders>
            <w:shd w:val="clear" w:color="auto" w:fill="E6E6E6"/>
          </w:tcPr>
          <w:p w:rsidR="00BE6A59" w:rsidRDefault="00BE6A59" w:rsidP="006F7AC8">
            <w:pPr>
              <w:spacing w:before="40" w:after="40" w:line="240" w:lineRule="auto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9" w:type="dxa"/>
            <w:tcBorders>
              <w:top w:val="dotted" w:sz="4" w:space="0" w:color="000000"/>
              <w:bottom w:val="single" w:sz="4" w:space="0" w:color="000000"/>
            </w:tcBorders>
            <w:shd w:val="clear" w:color="auto" w:fill="E6E6E6"/>
          </w:tcPr>
          <w:p w:rsidR="00BE6A59" w:rsidRDefault="00D744F7" w:rsidP="006F7AC8">
            <w:pPr>
              <w:spacing w:before="40" w:after="4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2781" w:type="dxa"/>
            <w:tcBorders>
              <w:top w:val="dotted" w:sz="4" w:space="0" w:color="000000"/>
              <w:bottom w:val="single" w:sz="4" w:space="0" w:color="000000"/>
            </w:tcBorders>
            <w:shd w:val="clear" w:color="auto" w:fill="E6E6E6"/>
          </w:tcPr>
          <w:p w:rsidR="00BE6A59" w:rsidRDefault="00D744F7" w:rsidP="006F7AC8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Okvirno 6.100</w:t>
            </w:r>
          </w:p>
        </w:tc>
      </w:tr>
    </w:tbl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 - Izvršilac će dostaviti naručiocu kratak izveštaj o izvršenim uslugama, što će predstavljati osnovu za odobrenje privremenih i konačnih isplata.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 5: Trajanje Ugovora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Trajanje Ugovora je &lt;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XX dana/meseci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&gt;. </w:t>
      </w: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Datum početka Ugovora je &lt;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dd/mm/gggg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Član 6: Rešavanje sporova 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A59" w:rsidRDefault="00D744F7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Bilo kakvi sporovi koji proizilaze ili su vezani za ovaj Ugovor koji se ne mogu drugačije rešiti će biti upućeni na isključivu nadležnost (*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- navesti nadležni sud ili arbitarno telo</w:t>
      </w:r>
      <w:r>
        <w:rPr>
          <w:rFonts w:ascii="Times New Roman" w:eastAsia="Times New Roman" w:hAnsi="Times New Roman" w:cs="Times New Roman"/>
          <w:sz w:val="24"/>
          <w:szCs w:val="24"/>
        </w:rPr>
        <w:t>) u saglasnosti sa nacionalnim zakonodavstvom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države naručioca. </w:t>
      </w:r>
    </w:p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9090" w:type="dxa"/>
        <w:tblLayout w:type="fixed"/>
        <w:tblLook w:val="0000" w:firstRow="0" w:lastRow="0" w:firstColumn="0" w:lastColumn="0" w:noHBand="0" w:noVBand="0"/>
      </w:tblPr>
      <w:tblGrid>
        <w:gridCol w:w="1491"/>
        <w:gridCol w:w="3259"/>
        <w:gridCol w:w="2321"/>
        <w:gridCol w:w="2019"/>
      </w:tblGrid>
      <w:tr w:rsidR="00BE6A59">
        <w:tc>
          <w:tcPr>
            <w:tcW w:w="4750" w:type="dxa"/>
            <w:gridSpan w:val="2"/>
          </w:tcPr>
          <w:p w:rsidR="00BE6A59" w:rsidRDefault="00D744F7" w:rsidP="006F7AC8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Za izvršioca</w:t>
            </w:r>
          </w:p>
        </w:tc>
        <w:tc>
          <w:tcPr>
            <w:tcW w:w="4340" w:type="dxa"/>
            <w:gridSpan w:val="2"/>
          </w:tcPr>
          <w:p w:rsidR="00BE6A59" w:rsidRDefault="00D744F7" w:rsidP="006F7AC8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Za naručioca</w:t>
            </w:r>
          </w:p>
        </w:tc>
      </w:tr>
      <w:tr w:rsidR="00BE6A59">
        <w:trPr>
          <w:cantSplit/>
        </w:trPr>
        <w:tc>
          <w:tcPr>
            <w:tcW w:w="1491" w:type="dxa"/>
          </w:tcPr>
          <w:p w:rsidR="00BE6A59" w:rsidRDefault="00D744F7" w:rsidP="006F7AC8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Ime:</w:t>
            </w:r>
          </w:p>
        </w:tc>
        <w:tc>
          <w:tcPr>
            <w:tcW w:w="3259" w:type="dxa"/>
          </w:tcPr>
          <w:p w:rsidR="00BE6A59" w:rsidRDefault="00BE6A59" w:rsidP="006F7AC8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1" w:type="dxa"/>
          </w:tcPr>
          <w:p w:rsidR="00BE6A59" w:rsidRDefault="00D744F7" w:rsidP="006F7AC8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Ime:</w:t>
            </w:r>
          </w:p>
        </w:tc>
        <w:tc>
          <w:tcPr>
            <w:tcW w:w="2019" w:type="dxa"/>
          </w:tcPr>
          <w:p w:rsidR="00BE6A59" w:rsidRDefault="00BE6A59" w:rsidP="006F7AC8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6A59">
        <w:trPr>
          <w:cantSplit/>
        </w:trPr>
        <w:tc>
          <w:tcPr>
            <w:tcW w:w="1491" w:type="dxa"/>
          </w:tcPr>
          <w:p w:rsidR="00BE6A59" w:rsidRDefault="00D744F7" w:rsidP="006F7AC8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Zvanje:</w:t>
            </w:r>
          </w:p>
        </w:tc>
        <w:tc>
          <w:tcPr>
            <w:tcW w:w="3259" w:type="dxa"/>
          </w:tcPr>
          <w:p w:rsidR="00BE6A59" w:rsidRDefault="00BE6A59" w:rsidP="006F7AC8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cyan"/>
              </w:rPr>
            </w:pPr>
          </w:p>
        </w:tc>
        <w:tc>
          <w:tcPr>
            <w:tcW w:w="2321" w:type="dxa"/>
          </w:tcPr>
          <w:p w:rsidR="00BE6A59" w:rsidRDefault="00D744F7" w:rsidP="006F7AC8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Zvanje:</w:t>
            </w:r>
          </w:p>
        </w:tc>
        <w:tc>
          <w:tcPr>
            <w:tcW w:w="2019" w:type="dxa"/>
          </w:tcPr>
          <w:p w:rsidR="00BE6A59" w:rsidRDefault="00BE6A59" w:rsidP="006F7AC8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6A59">
        <w:trPr>
          <w:cantSplit/>
        </w:trPr>
        <w:tc>
          <w:tcPr>
            <w:tcW w:w="1491" w:type="dxa"/>
          </w:tcPr>
          <w:p w:rsidR="00BE6A59" w:rsidRDefault="00D744F7" w:rsidP="006F7AC8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Potpis:</w:t>
            </w:r>
          </w:p>
        </w:tc>
        <w:tc>
          <w:tcPr>
            <w:tcW w:w="3259" w:type="dxa"/>
          </w:tcPr>
          <w:p w:rsidR="00BE6A59" w:rsidRDefault="00BE6A59" w:rsidP="006F7AC8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1" w:type="dxa"/>
          </w:tcPr>
          <w:p w:rsidR="00BE6A59" w:rsidRDefault="00D744F7" w:rsidP="006F7AC8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Potpis:</w:t>
            </w:r>
          </w:p>
        </w:tc>
        <w:tc>
          <w:tcPr>
            <w:tcW w:w="2019" w:type="dxa"/>
          </w:tcPr>
          <w:p w:rsidR="00BE6A59" w:rsidRDefault="00BE6A59" w:rsidP="006F7AC8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6A59">
        <w:trPr>
          <w:cantSplit/>
        </w:trPr>
        <w:tc>
          <w:tcPr>
            <w:tcW w:w="1491" w:type="dxa"/>
          </w:tcPr>
          <w:p w:rsidR="00BE6A59" w:rsidRDefault="00D744F7" w:rsidP="006F7AC8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Datum:</w:t>
            </w:r>
          </w:p>
        </w:tc>
        <w:tc>
          <w:tcPr>
            <w:tcW w:w="3259" w:type="dxa"/>
          </w:tcPr>
          <w:p w:rsidR="00BE6A59" w:rsidRDefault="00BE6A59" w:rsidP="006F7AC8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1" w:type="dxa"/>
          </w:tcPr>
          <w:p w:rsidR="00BE6A59" w:rsidRDefault="00D744F7" w:rsidP="006F7AC8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Datum:</w:t>
            </w:r>
          </w:p>
        </w:tc>
        <w:tc>
          <w:tcPr>
            <w:tcW w:w="2019" w:type="dxa"/>
          </w:tcPr>
          <w:p w:rsidR="00BE6A59" w:rsidRDefault="00BE6A59" w:rsidP="006F7AC8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E6A59" w:rsidRDefault="00BE6A59" w:rsidP="006F7AC8">
      <w:pPr>
        <w:spacing w:after="0"/>
        <w:ind w:left="0" w:hanging="2"/>
        <w:jc w:val="both"/>
        <w:rPr>
          <w:rFonts w:ascii="Times New Roman" w:eastAsia="Times New Roman" w:hAnsi="Times New Roman" w:cs="Times New Roman"/>
        </w:rPr>
      </w:pPr>
    </w:p>
    <w:p w:rsidR="00BE6A59" w:rsidRDefault="00BE6A59" w:rsidP="00BE6A59">
      <w:pPr>
        <w:spacing w:after="0"/>
        <w:ind w:left="0" w:hanging="2"/>
        <w:jc w:val="both"/>
        <w:rPr>
          <w:rFonts w:ascii="Times New Roman" w:eastAsia="Times New Roman" w:hAnsi="Times New Roman" w:cs="Times New Roman"/>
        </w:rPr>
      </w:pPr>
    </w:p>
    <w:sectPr w:rsidR="00BE6A5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81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4F7" w:rsidRDefault="00D744F7" w:rsidP="006F7AC8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D744F7" w:rsidRDefault="00D744F7" w:rsidP="006F7AC8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A59" w:rsidRDefault="00BE6A59" w:rsidP="006F7AC8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A59" w:rsidRDefault="00BE6A59" w:rsidP="006F7AC8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A59" w:rsidRDefault="00BE6A59" w:rsidP="006F7AC8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4F7" w:rsidRDefault="00D744F7" w:rsidP="006F7AC8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D744F7" w:rsidRDefault="00D744F7" w:rsidP="006F7AC8">
      <w:pPr>
        <w:spacing w:after="0" w:line="240" w:lineRule="auto"/>
        <w:ind w:left="0" w:hanging="2"/>
      </w:pPr>
      <w:r>
        <w:continuationSeparator/>
      </w:r>
    </w:p>
  </w:footnote>
  <w:footnote w:id="1">
    <w:p w:rsidR="00BE6A59" w:rsidRDefault="00D744F7" w:rsidP="006F7AC8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Gde je primenljivo. Za fizička lica, navesti broj lične karte, pasoša ili broj sličnog dokumenta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A59" w:rsidRDefault="00BE6A59" w:rsidP="006F7AC8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A59" w:rsidRDefault="00BE6A59" w:rsidP="006F7AC8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A59" w:rsidRDefault="00BE6A59" w:rsidP="006F7AC8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B03D1"/>
    <w:multiLevelType w:val="multilevel"/>
    <w:tmpl w:val="0D387062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3B3359BF"/>
    <w:multiLevelType w:val="multilevel"/>
    <w:tmpl w:val="637AD30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abstractNum w:abstractNumId="2">
    <w:nsid w:val="6EFB506B"/>
    <w:multiLevelType w:val="multilevel"/>
    <w:tmpl w:val="BFA4928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798A0533"/>
    <w:multiLevelType w:val="multilevel"/>
    <w:tmpl w:val="5114FDA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7B69300F"/>
    <w:multiLevelType w:val="multilevel"/>
    <w:tmpl w:val="F564A2E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E6A59"/>
    <w:rsid w:val="006F7AC8"/>
    <w:rsid w:val="008C1FF8"/>
    <w:rsid w:val="00BE6A59"/>
    <w:rsid w:val="00D74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pPr>
      <w:ind w:left="708"/>
    </w:pPr>
  </w:style>
  <w:style w:type="character" w:styleId="FootnoteReferenc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BodyText">
    <w:name w:val="Body Text"/>
    <w:basedOn w:val="Normal"/>
    <w:pPr>
      <w:spacing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BodyTextChar">
    <w:name w:val="Body Text Char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  <w:lang w:val="en-GB" w:eastAsia="en-GB"/>
    </w:rPr>
  </w:style>
  <w:style w:type="paragraph" w:styleId="EndnoteText">
    <w:name w:val="endnote text"/>
    <w:basedOn w:val="Normal"/>
    <w:qFormat/>
    <w:rPr>
      <w:sz w:val="20"/>
      <w:szCs w:val="20"/>
    </w:rPr>
  </w:style>
  <w:style w:type="character" w:customStyle="1" w:styleId="EndnoteTextChar">
    <w:name w:val="Endnote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character" w:styleId="EndnoteReference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styleId="FootnoteText">
    <w:name w:val="footnote text"/>
    <w:basedOn w:val="Normal"/>
    <w:qFormat/>
    <w:rPr>
      <w:sz w:val="20"/>
      <w:szCs w:val="20"/>
    </w:rPr>
  </w:style>
  <w:style w:type="character" w:customStyle="1" w:styleId="FootnoteTextChar">
    <w:name w:val="Footnote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character" w:customStyle="1" w:styleId="CommentTextChar">
    <w:name w:val="Comment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  <w:lang w:val="sl-SI" w:eastAsia="en-US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sl-SI" w:eastAsia="en-US"/>
    </w:rPr>
  </w:style>
  <w:style w:type="paragraph" w:styleId="Header">
    <w:name w:val="header"/>
    <w:basedOn w:val="Normal"/>
    <w:qFormat/>
    <w:pPr>
      <w:spacing w:after="0" w:line="240" w:lineRule="auto"/>
    </w:pPr>
  </w:style>
  <w:style w:type="character" w:customStyle="1" w:styleId="HeaderChar">
    <w:name w:val="Header Char"/>
    <w:rPr>
      <w:w w:val="100"/>
      <w:position w:val="-1"/>
      <w:sz w:val="22"/>
      <w:szCs w:val="22"/>
      <w:effect w:val="none"/>
      <w:vertAlign w:val="baseline"/>
      <w:cs w:val="0"/>
      <w:em w:val="none"/>
      <w:lang w:val="sl-SI"/>
    </w:rPr>
  </w:style>
  <w:style w:type="paragraph" w:styleId="Footer">
    <w:name w:val="footer"/>
    <w:basedOn w:val="Normal"/>
    <w:qFormat/>
    <w:pPr>
      <w:spacing w:after="0" w:line="240" w:lineRule="auto"/>
    </w:pPr>
  </w:style>
  <w:style w:type="character" w:customStyle="1" w:styleId="FooterChar">
    <w:name w:val="Footer Char"/>
    <w:rPr>
      <w:w w:val="100"/>
      <w:position w:val="-1"/>
      <w:sz w:val="22"/>
      <w:szCs w:val="22"/>
      <w:effect w:val="none"/>
      <w:vertAlign w:val="baseline"/>
      <w:cs w:val="0"/>
      <w:em w:val="none"/>
      <w:lang w:val="sl-SI"/>
    </w:rPr>
  </w:style>
  <w:style w:type="character" w:customStyle="1" w:styleId="Heading3Char">
    <w:name w:val="Heading 3 Char"/>
    <w:rPr>
      <w:rFonts w:ascii="Times New Roman" w:eastAsia="Times New Roman" w:hAnsi="Times New Roman"/>
      <w:b/>
      <w:bCs/>
      <w:w w:val="100"/>
      <w:position w:val="-1"/>
      <w:sz w:val="27"/>
      <w:szCs w:val="27"/>
      <w:effect w:val="none"/>
      <w:vertAlign w:val="baseline"/>
      <w:cs w:val="0"/>
      <w:em w:val="none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pPr>
      <w:ind w:left="708"/>
    </w:pPr>
  </w:style>
  <w:style w:type="character" w:styleId="FootnoteReferenc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BodyText">
    <w:name w:val="Body Text"/>
    <w:basedOn w:val="Normal"/>
    <w:pPr>
      <w:spacing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BodyTextChar">
    <w:name w:val="Body Text Char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  <w:lang w:val="en-GB" w:eastAsia="en-GB"/>
    </w:rPr>
  </w:style>
  <w:style w:type="paragraph" w:styleId="EndnoteText">
    <w:name w:val="endnote text"/>
    <w:basedOn w:val="Normal"/>
    <w:qFormat/>
    <w:rPr>
      <w:sz w:val="20"/>
      <w:szCs w:val="20"/>
    </w:rPr>
  </w:style>
  <w:style w:type="character" w:customStyle="1" w:styleId="EndnoteTextChar">
    <w:name w:val="Endnote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character" w:styleId="EndnoteReference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styleId="FootnoteText">
    <w:name w:val="footnote text"/>
    <w:basedOn w:val="Normal"/>
    <w:qFormat/>
    <w:rPr>
      <w:sz w:val="20"/>
      <w:szCs w:val="20"/>
    </w:rPr>
  </w:style>
  <w:style w:type="character" w:customStyle="1" w:styleId="FootnoteTextChar">
    <w:name w:val="Footnote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character" w:customStyle="1" w:styleId="CommentTextChar">
    <w:name w:val="Comment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  <w:lang w:val="sl-SI" w:eastAsia="en-US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sl-SI" w:eastAsia="en-US"/>
    </w:rPr>
  </w:style>
  <w:style w:type="paragraph" w:styleId="Header">
    <w:name w:val="header"/>
    <w:basedOn w:val="Normal"/>
    <w:qFormat/>
    <w:pPr>
      <w:spacing w:after="0" w:line="240" w:lineRule="auto"/>
    </w:pPr>
  </w:style>
  <w:style w:type="character" w:customStyle="1" w:styleId="HeaderChar">
    <w:name w:val="Header Char"/>
    <w:rPr>
      <w:w w:val="100"/>
      <w:position w:val="-1"/>
      <w:sz w:val="22"/>
      <w:szCs w:val="22"/>
      <w:effect w:val="none"/>
      <w:vertAlign w:val="baseline"/>
      <w:cs w:val="0"/>
      <w:em w:val="none"/>
      <w:lang w:val="sl-SI"/>
    </w:rPr>
  </w:style>
  <w:style w:type="paragraph" w:styleId="Footer">
    <w:name w:val="footer"/>
    <w:basedOn w:val="Normal"/>
    <w:qFormat/>
    <w:pPr>
      <w:spacing w:after="0" w:line="240" w:lineRule="auto"/>
    </w:pPr>
  </w:style>
  <w:style w:type="character" w:customStyle="1" w:styleId="FooterChar">
    <w:name w:val="Footer Char"/>
    <w:rPr>
      <w:w w:val="100"/>
      <w:position w:val="-1"/>
      <w:sz w:val="22"/>
      <w:szCs w:val="22"/>
      <w:effect w:val="none"/>
      <w:vertAlign w:val="baseline"/>
      <w:cs w:val="0"/>
      <w:em w:val="none"/>
      <w:lang w:val="sl-SI"/>
    </w:rPr>
  </w:style>
  <w:style w:type="character" w:customStyle="1" w:styleId="Heading3Char">
    <w:name w:val="Heading 3 Char"/>
    <w:rPr>
      <w:rFonts w:ascii="Times New Roman" w:eastAsia="Times New Roman" w:hAnsi="Times New Roman"/>
      <w:b/>
      <w:bCs/>
      <w:w w:val="100"/>
      <w:position w:val="-1"/>
      <w:sz w:val="27"/>
      <w:szCs w:val="27"/>
      <w:effect w:val="none"/>
      <w:vertAlign w:val="baseline"/>
      <w:cs w:val="0"/>
      <w:em w:val="none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.ec.europa.eu/download/attachments/44168995/b8d_annexigc_en.pdf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ikis.ec.europa.eu/display/ExactExternalWiki/Annexe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2024</Words>
  <Characters>11539</Characters>
  <Application>Microsoft Office Word</Application>
  <DocSecurity>0</DocSecurity>
  <Lines>96</Lines>
  <Paragraphs>27</Paragraphs>
  <ScaleCrop>false</ScaleCrop>
  <LinksUpToDate>false</LinksUpToDate>
  <CharactersWithSpaces>13536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2024-11-05T06:15:00Z</dcterms:created>
  <dcterms:modified xsi:type="dcterms:W3CDTF">2024-11-05T06:15:00Z</dcterms:modified>
</cp:coreProperties>
</file>