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DAA" w:rsidRDefault="00E15DAA" w:rsidP="002E62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5DAA">
        <w:tc>
          <w:tcPr>
            <w:tcW w:w="9000" w:type="dxa"/>
            <w:shd w:val="clear" w:color="auto" w:fill="D3DFEE"/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DEO A: INFORMACIJE ZA PODNOSIOCA PONUDE </w:t>
            </w:r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5DAA">
        <w:tc>
          <w:tcPr>
            <w:tcW w:w="9000" w:type="dxa"/>
            <w:shd w:val="clear" w:color="auto" w:fill="D3DFEE"/>
          </w:tcPr>
          <w:p w:rsidR="00E15DAA" w:rsidRDefault="005E0F3A" w:rsidP="002E62F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 i adresa naručioca:  Ustanova za izradu tapiserija "Atelje 61", Petrovaradinska tvrđava 9, 21131 Petrovaradin</w:t>
            </w:r>
          </w:p>
          <w:p w:rsidR="00E32C45" w:rsidRPr="00E32C45" w:rsidRDefault="005E0F3A" w:rsidP="00E32C45">
            <w:pPr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Naziv tendera: </w:t>
            </w:r>
            <w:r w:rsidR="00E32C45" w:rsidRP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Nabavka usluge org</w:t>
            </w:r>
            <w:r w:rsid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anizacije zajedničkog festival k</w:t>
            </w:r>
            <w:r w:rsidR="00E32C45" w:rsidRP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ulture i izložbe za potrebe projekta Umetničko carstvo bez granica kroz prilike i znanje (Borderless Artistic Realm Through Opportunities and Knowledge –BARTOK)</w:t>
            </w:r>
          </w:p>
          <w:p w:rsidR="00E32C45" w:rsidRDefault="005E0F3A" w:rsidP="00E32C45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Referentni broj: </w:t>
            </w:r>
            <w:r w:rsid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HUSRB/23R/22/060/4.7.2., 4.7.3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15DAA" w:rsidRDefault="005E0F3A" w:rsidP="00E32C45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E32C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atum objavljivanja: 12/3/2025</w:t>
            </w:r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E15DAA" w:rsidRDefault="005E0F3A" w:rsidP="002E62F0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INFORMACIJE O PODNOŠENJU PONUDA ZA TENDER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Predmet Ugovora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15DAA" w:rsidRDefault="005E0F3A" w:rsidP="002E62F0">
      <w:pPr>
        <w:tabs>
          <w:tab w:val="left" w:pos="1275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ovog tendera je: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C45" w:rsidRPr="00E32C45" w:rsidRDefault="00E32C45" w:rsidP="00E32C45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C45">
        <w:rPr>
          <w:rFonts w:ascii="Times New Roman" w:eastAsia="Times New Roman" w:hAnsi="Times New Roman" w:cs="Times New Roman"/>
          <w:b/>
          <w:sz w:val="24"/>
          <w:szCs w:val="24"/>
        </w:rPr>
        <w:t>Nabavka usluge org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anizacije zajedničkog festival k</w:t>
      </w:r>
      <w:r w:rsidRPr="00E32C45">
        <w:rPr>
          <w:rFonts w:ascii="Times New Roman" w:eastAsia="Times New Roman" w:hAnsi="Times New Roman" w:cs="Times New Roman"/>
          <w:b/>
          <w:sz w:val="24"/>
          <w:szCs w:val="24"/>
        </w:rPr>
        <w:t>ulture i izložbe za potrebe projekta Umetničko carstvo bez granica kroz prilike i znanje (Borderless Artistic Realm Through Opportunities and Knowledge –BARTOK)</w:t>
      </w:r>
    </w:p>
    <w:p w:rsidR="00E15DAA" w:rsidRDefault="00E15DAA" w:rsidP="002E62F0">
      <w:pP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Krajnji rok za podnošenje ponuda za tender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Krajnji rok za podnošenje ponuda za tender je </w:t>
      </w:r>
      <w:r w:rsidR="00E32C45">
        <w:rPr>
          <w:rFonts w:ascii="Times New Roman" w:eastAsia="Times New Roman" w:hAnsi="Times New Roman" w:cs="Times New Roman"/>
          <w:b/>
          <w:sz w:val="24"/>
          <w:szCs w:val="24"/>
        </w:rPr>
        <w:t>20/3/2025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u 12:00 časova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Sve ponude dobijene nakon ovog roka će automatski biti odbijene.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Ponuđač bi trebalo da ima minimum 7 dana od datuma objavljivanja javne nabavke za pripremu ponude (isključujući dan objave i datum krajnjeg roka za podnošenje ponude).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** - Naručilac je u obavezi da pruži odgovor na sva dobijena pitanja najkasnije u roku od 3 dana pre isteka roka kao i da ih objavi na istim web site-ovima na kojima je i sam tender objavljen.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Finansijske informacije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Podnosioci ponuda za tender se podsećaju da je maksimalna raspoloživa vrednost Ugovora </w:t>
      </w:r>
      <w:r w:rsidR="00E32C45">
        <w:rPr>
          <w:rFonts w:ascii="Times New Roman" w:eastAsia="Times New Roman" w:hAnsi="Times New Roman" w:cs="Times New Roman"/>
          <w:b/>
          <w:sz w:val="24"/>
          <w:szCs w:val="24"/>
        </w:rPr>
        <w:t>11.0</w:t>
      </w:r>
      <w:r w:rsidRPr="002E62F0">
        <w:rPr>
          <w:rFonts w:ascii="Times New Roman" w:eastAsia="Times New Roman" w:hAnsi="Times New Roman" w:cs="Times New Roman"/>
          <w:b/>
          <w:sz w:val="24"/>
          <w:szCs w:val="24"/>
        </w:rPr>
        <w:t>00 EUR uključujući i PDV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Finansijska ponuda mora biti prikazana u iznosu u EUR uključujući PDV i mora biti podneta na obrascu: DEO C: FORMAT FINANSIJSKE PONUDE.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 ovaj ugovor PDV je prihvatljiv trošak.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Odredbe vezane za primenu odgovarajućih poreza i carina su navedene u nacrtu Ugovora, u Delu A ovog tenderskog dosijea. </w:t>
      </w:r>
    </w:p>
    <w:p w:rsidR="00E15DAA" w:rsidRDefault="005E0F3A" w:rsidP="002E62F0">
      <w:pPr>
        <w:keepNext/>
        <w:spacing w:before="120"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Alternativna rešenja</w:t>
      </w:r>
    </w:p>
    <w:p w:rsidR="00E15DAA" w:rsidRDefault="005E0F3A" w:rsidP="002E62F0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Ponuđačima nije dozvoljeno da koriste alternativna rešenja.</w:t>
      </w:r>
    </w:p>
    <w:p w:rsidR="00E15DAA" w:rsidRDefault="005E0F3A" w:rsidP="002E62F0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Podugovaranje</w:t>
      </w:r>
    </w:p>
    <w:p w:rsidR="00E15DAA" w:rsidRDefault="005E0F3A" w:rsidP="002E62F0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Podugovaranje nije dozvoljeno.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Kriterijumi za dodelu Ugovora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više od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najbolji odnos cene i kvaliteta, ponderisanjem 80% kvalitet, cena 20%.  </w:t>
      </w:r>
    </w:p>
    <w:p w:rsidR="00E15DAA" w:rsidRDefault="00E15DAA" w:rsidP="002E62F0">
      <w:pPr>
        <w:tabs>
          <w:tab w:val="left" w:pos="417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DAA" w:rsidRDefault="005E0F3A" w:rsidP="002E62F0">
      <w:pPr>
        <w:tabs>
          <w:tab w:val="left" w:pos="360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Kriterijumi za evaluaciju tehničke ponude:</w:t>
      </w:r>
    </w:p>
    <w:p w:rsidR="00E15DAA" w:rsidRDefault="00E32C45" w:rsidP="002E62F0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Organizacija i metodologija: 8</w:t>
      </w:r>
      <w:r w:rsidR="005E0F3A">
        <w:rPr>
          <w:rFonts w:ascii="Times New Roman" w:eastAsia="Times New Roman" w:hAnsi="Times New Roman" w:cs="Times New Roman"/>
          <w:b/>
          <w:sz w:val="24"/>
          <w:szCs w:val="24"/>
        </w:rPr>
        <w:t>0 poena</w:t>
      </w:r>
    </w:p>
    <w:p w:rsidR="00E15DAA" w:rsidRDefault="00E32C45" w:rsidP="002E62F0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Predloženi inputi: 1</w:t>
      </w:r>
      <w:r w:rsidR="005E0F3A">
        <w:rPr>
          <w:rFonts w:ascii="Times New Roman" w:eastAsia="Times New Roman" w:hAnsi="Times New Roman" w:cs="Times New Roman"/>
          <w:b/>
          <w:sz w:val="24"/>
          <w:szCs w:val="24"/>
        </w:rPr>
        <w:t>0 poena</w:t>
      </w:r>
    </w:p>
    <w:p w:rsidR="00E15DAA" w:rsidRDefault="005E0F3A" w:rsidP="002E62F0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Period izvršenja usluge: 10 poena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UKUPNO: 100 poena </w:t>
      </w:r>
    </w:p>
    <w:p w:rsidR="00E15DAA" w:rsidRDefault="005E0F3A" w:rsidP="002E62F0">
      <w:pPr>
        <w:tabs>
          <w:tab w:val="left" w:pos="366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Naručilac će proveriti da li ponuda administrativno, tehnički i finansijski ispunjava zahteve postavljene ovom tenderskom procedurom. </w:t>
      </w:r>
    </w:p>
    <w:p w:rsidR="00E15DAA" w:rsidRDefault="005E0F3A" w:rsidP="002E62F0">
      <w:pPr>
        <w:spacing w:before="120" w:after="12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Razgovori: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Razgovori nisu predviđeni.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Obaveštenje o dodeli Ugovora: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Uspešni ponuđač će biti obavešten o rezultatima evaluacione procedure pisanim putem.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Adresa i način  podnošenja ponude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će podneti svoje ponude koristeći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standardizovani set formulara za podnošenje dostupan u Delu B – Tehnička ponuda i u Delu C - Finansijska ponuda.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Svaki drugi propratni dokument uz ovaj poziv je poslat samo u informativne svrhe i ne zahteva menjanje kao ni podnošenje od strane ponuđača. Ponuda se podnosi 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originalu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Ponude koje nisu u skladu sa propisanom formom mogu biti odbijene od strane naručioca.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prilogu ponude, ponuđač je obavezan da priloži sledeću propratnu dokumentaciju: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Kopiju izvoda iz APR-a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(ukoliko nije javno dostupan) ili link ka registru privrednih subjekata koji vodi Agencija za privredne registre,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dokazuje predmetna kvalifikacija.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</w:p>
    <w:p w:rsidR="00E15DAA" w:rsidRDefault="00E15DA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Ponude se podnose u zapečaćenim kovertama, koje treba da sadrže sledeće informacije: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Ime i adresa ponuđača: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Ustanova za izradu tapiserija "Atelje 61"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Petrovaradinska tvrđava 9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21131 Petrovaradin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Anita Živković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Naziv tendera: </w:t>
      </w:r>
      <w:r w:rsidR="00E32C45" w:rsidRPr="00E32C45">
        <w:rPr>
          <w:rFonts w:ascii="Times New Roman" w:eastAsia="Times New Roman" w:hAnsi="Times New Roman" w:cs="Times New Roman"/>
          <w:b/>
          <w:sz w:val="24"/>
          <w:szCs w:val="24"/>
        </w:rPr>
        <w:t>Nabavka usluge org</w:t>
      </w:r>
      <w:r w:rsidR="00E32C45">
        <w:rPr>
          <w:rFonts w:ascii="Times New Roman" w:eastAsia="Times New Roman" w:hAnsi="Times New Roman" w:cs="Times New Roman"/>
          <w:b/>
          <w:sz w:val="24"/>
          <w:szCs w:val="24"/>
        </w:rPr>
        <w:t>anizacije zajedničkog festival k</w:t>
      </w:r>
      <w:r w:rsidR="00E32C45" w:rsidRPr="00E32C45">
        <w:rPr>
          <w:rFonts w:ascii="Times New Roman" w:eastAsia="Times New Roman" w:hAnsi="Times New Roman" w:cs="Times New Roman"/>
          <w:b/>
          <w:sz w:val="24"/>
          <w:szCs w:val="24"/>
        </w:rPr>
        <w:t>ulture i izložbe za potrebe projekta Umetničko carstvo bez granica kroz prilike i znanje (Borderless Artistic Realm Through Opportunities and Knowledge –BARTOK)</w:t>
      </w:r>
    </w:p>
    <w:p w:rsidR="00E32C45" w:rsidRDefault="00E32C45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Referentni </w:t>
      </w:r>
      <w:r w:rsidR="00E32C45">
        <w:rPr>
          <w:rFonts w:ascii="Times New Roman" w:eastAsia="Times New Roman" w:hAnsi="Times New Roman" w:cs="Times New Roman"/>
          <w:b/>
          <w:sz w:val="24"/>
          <w:szCs w:val="24"/>
        </w:rPr>
        <w:t>broj:  HUSRB/23R/22/060/4.7.2. i  4.7.3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Naznaku: ‘’Not to be opened before the tender opening session’’ (“Ne otvarati pre sastanka za otvaranje ponuda’’)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Ponude se moraju podneti korišćenjem sistema dvostrukih koverti, jedan  spoljašnji paket ili koverta mora sadržati dve zasebne zapečaćene koverte, jedna sa naznakom "Tehnička ponuda" – Deo B a druga sa naznakom "Finansijska ponuda" – Deo C. Bilo kakvo odstupanje od ovog pravila (npr. nezapečaćene koverte ili navođenje cene u tehničkoj ponudi) smatraće se kršenjem pravila i vodiće odbijanju ponude.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Ponude se podnose lično, poštom ili kurirskom službom na sledeću adresu: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Ustanova za izradu tapiserija "Atelj</w:t>
      </w:r>
      <w:r w:rsidR="00E32C45">
        <w:rPr>
          <w:rFonts w:ascii="Times New Roman" w:eastAsia="Times New Roman" w:hAnsi="Times New Roman" w:cs="Times New Roman"/>
          <w:b/>
          <w:sz w:val="24"/>
          <w:szCs w:val="24"/>
        </w:rPr>
        <w:t>e 61"</w:t>
      </w:r>
    </w:p>
    <w:p w:rsidR="00E15DAA" w:rsidRDefault="00E32C45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Petrovaradinska tvrđava 9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21131 Petrovaradin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Anita Živković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se podsećaju da će se uzeti u razmatranje samo ponude pristigle do krajnjeg roka koji je gore naveden.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E32C45">
      <w:pPr>
        <w:spacing w:after="0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TEHNIČKE INFORMACIJE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 su u obavezi da pruže dole navedene usluge. U svojoj tehničkoj ponudi ponuđači treba detaljnije da opišu tražene usluge a prema dole postavljenim zahtevima</w:t>
      </w:r>
    </w:p>
    <w:p w:rsidR="00E32C45" w:rsidRDefault="00E32C45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C45" w:rsidRDefault="00E32C45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C45" w:rsidRDefault="00E32C45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C45" w:rsidRDefault="00E32C45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C45" w:rsidRDefault="00E32C45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C45" w:rsidRDefault="00E32C45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Aktivnosti:</w:t>
      </w:r>
    </w:p>
    <w:p w:rsidR="00462B10" w:rsidRDefault="00462B10" w:rsidP="00462B10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2C45" w:rsidRPr="00462B10" w:rsidRDefault="00E32C45" w:rsidP="00462B10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2B10">
        <w:rPr>
          <w:rFonts w:ascii="Times New Roman" w:eastAsia="Times New Roman" w:hAnsi="Times New Roman" w:cs="Times New Roman"/>
          <w:b/>
          <w:sz w:val="24"/>
          <w:szCs w:val="24"/>
        </w:rPr>
        <w:t>Nabavka usluge organizacije zajedničkog festival kulture i izložbe za potrebe projekta Umetničko carstvo bez granica kroz prilike i znanje (Borderless Artistic Realm Through Opportunities and Knowledge –BARTOK)</w:t>
      </w:r>
    </w:p>
    <w:p w:rsidR="00E15DAA" w:rsidRDefault="00E15DA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2C45" w:rsidRDefault="00E32C45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Opis očekivanih outputa/rezultata koje je potrebno postići</w:t>
      </w:r>
    </w:p>
    <w:p w:rsidR="00E32C45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Ponuđač je u obavezi da izvrši uslugu organizacije</w:t>
      </w:r>
      <w:r w:rsidR="00E32C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dvodnevni događaj u periodu april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E32C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maj 2026 godine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 Novom Sadu </w:t>
      </w:r>
      <w:r w:rsidR="00E32C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Lokacija događaja je Kreativni distrikt, plato ispred Radionice i prostorije Radionice »Ateljea 61«</w:t>
      </w:r>
      <w:r w:rsidR="00462B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E32C45" w:rsidRDefault="00E32C45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Tačan datum će biti definisan u saradnji sa Naručiocem i partnerima iz Mađarske a minimum 45 dana pre zahtevane organizacije događaja.</w:t>
      </w:r>
    </w:p>
    <w:p w:rsidR="00E32C45" w:rsidRPr="00E32C45" w:rsidRDefault="00E32C45" w:rsidP="00E32C45">
      <w:pPr>
        <w:pStyle w:val="NormalWeb"/>
        <w:ind w:left="5" w:hanging="7"/>
        <w:jc w:val="both"/>
        <w:rPr>
          <w:b/>
        </w:rPr>
      </w:pPr>
      <w:proofErr w:type="spellStart"/>
      <w:r w:rsidRPr="00E32C45">
        <w:rPr>
          <w:b/>
        </w:rPr>
        <w:t>Međugranični</w:t>
      </w:r>
      <w:proofErr w:type="spellEnd"/>
      <w:r w:rsidRPr="00E32C45">
        <w:rPr>
          <w:b/>
        </w:rPr>
        <w:t xml:space="preserve"> kulturni festivali </w:t>
      </w:r>
      <w:proofErr w:type="spellStart"/>
      <w:r w:rsidRPr="00E32C45">
        <w:rPr>
          <w:b/>
          <w:lang w:val="en-US"/>
        </w:rPr>
        <w:t>i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izložba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radova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predstavlja</w:t>
      </w:r>
      <w:proofErr w:type="spellEnd"/>
      <w:r w:rsidRPr="00E32C45">
        <w:rPr>
          <w:b/>
        </w:rPr>
        <w:t xml:space="preserve"> ključni deo projekta BARTOK. Njihov cilj je jačanje veza između Srbije i Mađarske kroz univerzalni jezik umetnosti. Ov</w:t>
      </w:r>
      <w:proofErr w:type="spellStart"/>
      <w:r w:rsidRPr="00E32C45">
        <w:rPr>
          <w:b/>
          <w:lang w:val="en-US"/>
        </w:rPr>
        <w:t>aj</w:t>
      </w:r>
      <w:proofErr w:type="spellEnd"/>
      <w:r w:rsidRPr="00E32C45">
        <w:rPr>
          <w:b/>
          <w:lang w:val="en-US"/>
        </w:rPr>
        <w:t xml:space="preserve"> </w:t>
      </w:r>
      <w:r w:rsidRPr="00E32C45">
        <w:rPr>
          <w:b/>
        </w:rPr>
        <w:t>festival će predstavljati završni događaj koji prikazuje najbolje umetničke saradnje, inovacije i razmene ostvarene tokom trajanja projekta.</w:t>
      </w:r>
      <w:r w:rsidRPr="00E32C45">
        <w:rPr>
          <w:b/>
          <w:lang w:val="en-US"/>
        </w:rPr>
        <w:t xml:space="preserve"> </w:t>
      </w:r>
      <w:r w:rsidRPr="00E32C45">
        <w:rPr>
          <w:b/>
        </w:rPr>
        <w:t>Cilj je da se prikaže raznolikost i dinamičnost umetničke scene regiona, kao i da se demonstrira kako tradicionalni umetnički izrazi mogu evoluirati i prilagoditi digitalnom dobu.</w:t>
      </w:r>
    </w:p>
    <w:p w:rsidR="00E32C45" w:rsidRPr="00E32C45" w:rsidRDefault="00E32C45" w:rsidP="00E32C45">
      <w:pPr>
        <w:pStyle w:val="NormalWeb"/>
        <w:ind w:left="5" w:hanging="7"/>
        <w:jc w:val="both"/>
        <w:rPr>
          <w:b/>
          <w:lang w:val="en-US"/>
        </w:rPr>
      </w:pPr>
      <w:r w:rsidRPr="00E32C45">
        <w:rPr>
          <w:b/>
        </w:rPr>
        <w:t xml:space="preserve">Jedna od glavnih atrakcija festivala biće izložba radova umetnika koji su boravili u </w:t>
      </w:r>
      <w:proofErr w:type="spellStart"/>
      <w:r w:rsidRPr="00E32C45">
        <w:rPr>
          <w:b/>
        </w:rPr>
        <w:t>FabLab</w:t>
      </w:r>
      <w:proofErr w:type="spellEnd"/>
      <w:r w:rsidRPr="00E32C45">
        <w:rPr>
          <w:b/>
        </w:rPr>
        <w:t xml:space="preserve"> rezidencijama</w:t>
      </w:r>
      <w:r w:rsidRPr="00E32C45">
        <w:rPr>
          <w:b/>
          <w:lang w:val="en-US"/>
        </w:rPr>
        <w:t xml:space="preserve"> u period </w:t>
      </w:r>
      <w:proofErr w:type="spellStart"/>
      <w:r w:rsidRPr="00E32C45">
        <w:rPr>
          <w:b/>
          <w:lang w:val="en-US"/>
        </w:rPr>
        <w:t>maj</w:t>
      </w:r>
      <w:proofErr w:type="spellEnd"/>
      <w:r w:rsidRPr="00E32C45">
        <w:rPr>
          <w:b/>
          <w:lang w:val="en-US"/>
        </w:rPr>
        <w:t xml:space="preserve"> 2025- </w:t>
      </w:r>
      <w:proofErr w:type="spellStart"/>
      <w:r w:rsidRPr="00E32C45">
        <w:rPr>
          <w:b/>
          <w:lang w:val="en-US"/>
        </w:rPr>
        <w:t>januar</w:t>
      </w:r>
      <w:proofErr w:type="spellEnd"/>
      <w:r w:rsidRPr="00E32C45">
        <w:rPr>
          <w:b/>
          <w:lang w:val="en-US"/>
        </w:rPr>
        <w:t xml:space="preserve"> 2026. </w:t>
      </w:r>
      <w:proofErr w:type="spellStart"/>
      <w:proofErr w:type="gramStart"/>
      <w:r w:rsidRPr="00E32C45">
        <w:rPr>
          <w:b/>
          <w:lang w:val="en-US"/>
        </w:rPr>
        <w:t>godine</w:t>
      </w:r>
      <w:proofErr w:type="spellEnd"/>
      <w:proofErr w:type="gramEnd"/>
      <w:r w:rsidRPr="00E32C45">
        <w:rPr>
          <w:b/>
          <w:lang w:val="en-US"/>
        </w:rPr>
        <w:t xml:space="preserve"> u Fab </w:t>
      </w:r>
      <w:proofErr w:type="spellStart"/>
      <w:r w:rsidRPr="00E32C45">
        <w:rPr>
          <w:b/>
          <w:lang w:val="en-US"/>
        </w:rPr>
        <w:t>Labu</w:t>
      </w:r>
      <w:proofErr w:type="spellEnd"/>
      <w:r w:rsidRPr="00E32C45">
        <w:rPr>
          <w:b/>
          <w:lang w:val="en-US"/>
        </w:rPr>
        <w:t xml:space="preserve"> u </w:t>
      </w:r>
      <w:proofErr w:type="spellStart"/>
      <w:r w:rsidRPr="00E32C45">
        <w:rPr>
          <w:b/>
          <w:lang w:val="en-US"/>
        </w:rPr>
        <w:t>Novom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Sadu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koji</w:t>
      </w:r>
      <w:proofErr w:type="spellEnd"/>
      <w:r w:rsidRPr="00E32C45">
        <w:rPr>
          <w:b/>
          <w:lang w:val="en-US"/>
        </w:rPr>
        <w:t xml:space="preserve"> je </w:t>
      </w:r>
      <w:proofErr w:type="spellStart"/>
      <w:r w:rsidRPr="00E32C45">
        <w:rPr>
          <w:b/>
          <w:lang w:val="en-US"/>
        </w:rPr>
        <w:t>instaliran</w:t>
      </w:r>
      <w:proofErr w:type="spellEnd"/>
      <w:r w:rsidRPr="00E32C45">
        <w:rPr>
          <w:b/>
          <w:lang w:val="en-US"/>
        </w:rPr>
        <w:t xml:space="preserve"> u </w:t>
      </w:r>
      <w:proofErr w:type="spellStart"/>
      <w:r w:rsidRPr="00E32C45">
        <w:rPr>
          <w:b/>
          <w:lang w:val="en-US"/>
        </w:rPr>
        <w:t>prostorijama</w:t>
      </w:r>
      <w:proofErr w:type="spellEnd"/>
      <w:r w:rsidRPr="00E32C45">
        <w:rPr>
          <w:b/>
          <w:lang w:val="en-US"/>
        </w:rPr>
        <w:t xml:space="preserve"> u </w:t>
      </w:r>
      <w:proofErr w:type="spellStart"/>
      <w:r w:rsidRPr="00E32C45">
        <w:rPr>
          <w:b/>
          <w:lang w:val="en-US"/>
        </w:rPr>
        <w:t>Kreativnom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Distriktu</w:t>
      </w:r>
      <w:proofErr w:type="spellEnd"/>
      <w:r w:rsidRPr="00E32C45">
        <w:rPr>
          <w:b/>
        </w:rPr>
        <w:t xml:space="preserve">. </w:t>
      </w:r>
    </w:p>
    <w:p w:rsidR="00E32C45" w:rsidRPr="00E32C45" w:rsidRDefault="00E32C45" w:rsidP="00E32C45">
      <w:pPr>
        <w:pStyle w:val="NormalWeb"/>
        <w:ind w:left="5" w:hanging="7"/>
        <w:jc w:val="both"/>
        <w:rPr>
          <w:b/>
        </w:rPr>
      </w:pPr>
      <w:r w:rsidRPr="00E32C45">
        <w:rPr>
          <w:b/>
        </w:rPr>
        <w:t xml:space="preserve">Rezultati njihovog rada – kako individualni, tako i kolektivni </w:t>
      </w:r>
      <w:proofErr w:type="spellStart"/>
      <w:r w:rsidRPr="00E32C45">
        <w:rPr>
          <w:b/>
          <w:lang w:val="en-US"/>
        </w:rPr>
        <w:t>potrebno</w:t>
      </w:r>
      <w:proofErr w:type="spellEnd"/>
      <w:r w:rsidRPr="00E32C45">
        <w:rPr>
          <w:b/>
          <w:lang w:val="en-US"/>
        </w:rPr>
        <w:t xml:space="preserve"> je da </w:t>
      </w:r>
      <w:proofErr w:type="spellStart"/>
      <w:r w:rsidRPr="00E32C45">
        <w:rPr>
          <w:b/>
          <w:lang w:val="en-US"/>
        </w:rPr>
        <w:t>budu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izloženi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tokom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ovog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dvodnevnog</w:t>
      </w:r>
      <w:proofErr w:type="spellEnd"/>
      <w:r w:rsidRPr="00E32C45">
        <w:rPr>
          <w:b/>
          <w:lang w:val="en-US"/>
        </w:rPr>
        <w:t xml:space="preserve"> </w:t>
      </w:r>
      <w:proofErr w:type="spellStart"/>
      <w:r w:rsidRPr="00E32C45">
        <w:rPr>
          <w:b/>
          <w:lang w:val="en-US"/>
        </w:rPr>
        <w:t>događaja</w:t>
      </w:r>
      <w:proofErr w:type="spellEnd"/>
      <w:r w:rsidRPr="00E32C45">
        <w:rPr>
          <w:b/>
        </w:rPr>
        <w:t xml:space="preserve">, </w:t>
      </w:r>
      <w:proofErr w:type="spellStart"/>
      <w:r w:rsidRPr="00E32C45">
        <w:rPr>
          <w:b/>
        </w:rPr>
        <w:t>omogućavajući</w:t>
      </w:r>
      <w:proofErr w:type="spellEnd"/>
      <w:r w:rsidRPr="00E32C45">
        <w:rPr>
          <w:b/>
        </w:rPr>
        <w:t xml:space="preserve"> posetiocima da iz prve ruke vide kako se inovativne tehnologije mogu koristiti u službi umetnosti. Ova izložba neće biti samo proslava kreativnosti, već i vizija budućnosti umetnosti.</w:t>
      </w:r>
    </w:p>
    <w:p w:rsidR="00E32C45" w:rsidRDefault="00462B10" w:rsidP="00E32C45">
      <w:pPr>
        <w:pStyle w:val="NormalWeb"/>
        <w:ind w:left="5" w:hanging="7"/>
        <w:jc w:val="both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</w:t>
      </w:r>
      <w:r w:rsidR="00E32C45" w:rsidRPr="00E32C45">
        <w:rPr>
          <w:b/>
          <w:lang w:val="en-US"/>
        </w:rPr>
        <w:t>vodnevni</w:t>
      </w:r>
      <w:proofErr w:type="spellEnd"/>
      <w:r w:rsidR="00E32C45" w:rsidRPr="00E32C45">
        <w:rPr>
          <w:b/>
          <w:lang w:val="en-US"/>
        </w:rPr>
        <w:t xml:space="preserve"> festival je </w:t>
      </w:r>
      <w:proofErr w:type="spellStart"/>
      <w:r w:rsidR="00E32C45" w:rsidRPr="00E32C45">
        <w:rPr>
          <w:b/>
          <w:lang w:val="en-US"/>
        </w:rPr>
        <w:t>potrebno</w:t>
      </w:r>
      <w:proofErr w:type="spellEnd"/>
      <w:r w:rsidR="00E32C45" w:rsidRPr="00E32C45">
        <w:rPr>
          <w:b/>
          <w:lang w:val="en-US"/>
        </w:rPr>
        <w:t xml:space="preserve"> da </w:t>
      </w:r>
      <w:proofErr w:type="spellStart"/>
      <w:r w:rsidR="00E32C45" w:rsidRPr="00E32C45">
        <w:rPr>
          <w:b/>
          <w:lang w:val="en-US"/>
        </w:rPr>
        <w:t>uključi</w:t>
      </w:r>
      <w:proofErr w:type="spellEnd"/>
      <w:r w:rsidR="00E32C45" w:rsidRPr="00E32C45">
        <w:rPr>
          <w:b/>
          <w:lang w:val="en-US"/>
        </w:rPr>
        <w:t xml:space="preserve"> </w:t>
      </w:r>
      <w:proofErr w:type="spellStart"/>
      <w:r w:rsidR="00E32C45" w:rsidRPr="00E32C45">
        <w:rPr>
          <w:b/>
          <w:lang w:val="en-US"/>
        </w:rPr>
        <w:t>različite</w:t>
      </w:r>
      <w:proofErr w:type="spellEnd"/>
      <w:r w:rsidR="00E32C45" w:rsidRPr="00E32C45">
        <w:rPr>
          <w:b/>
          <w:lang w:val="en-US"/>
        </w:rPr>
        <w:t xml:space="preserve"> </w:t>
      </w:r>
      <w:proofErr w:type="spellStart"/>
      <w:r w:rsidR="00E32C45" w:rsidRPr="00E32C45">
        <w:rPr>
          <w:b/>
          <w:lang w:val="en-US"/>
        </w:rPr>
        <w:t>festivalske</w:t>
      </w:r>
      <w:proofErr w:type="spellEnd"/>
      <w:r w:rsidR="00E32C45" w:rsidRPr="00E32C45">
        <w:rPr>
          <w:b/>
          <w:lang w:val="en-US"/>
        </w:rPr>
        <w:t xml:space="preserve"> </w:t>
      </w:r>
      <w:proofErr w:type="spellStart"/>
      <w:r w:rsidR="00E32C45" w:rsidRPr="00E32C45">
        <w:rPr>
          <w:b/>
          <w:lang w:val="en-US"/>
        </w:rPr>
        <w:t>forme</w:t>
      </w:r>
      <w:proofErr w:type="spellEnd"/>
      <w:r w:rsidR="00E32C45" w:rsidRPr="00E32C45">
        <w:rPr>
          <w:b/>
          <w:lang w:val="en-US"/>
        </w:rPr>
        <w:t xml:space="preserve">; </w:t>
      </w:r>
      <w:r w:rsidR="00E32C45" w:rsidRPr="00E32C45">
        <w:rPr>
          <w:b/>
        </w:rPr>
        <w:t>performanse, radionice i prezentacije.</w:t>
      </w:r>
      <w:proofErr w:type="gramEnd"/>
      <w:r w:rsidR="00E32C45" w:rsidRPr="00E32C45">
        <w:rPr>
          <w:b/>
        </w:rPr>
        <w:t xml:space="preserve"> Umetnici i stručnjaci iz različitih oblasti biće pozvani da podele svoje znanje i veštine, doprinoseći raznovrsnom i uzbudljivom programu. Posetioci će moći da učestvuju u interaktivnim radionicama digitalne umetnosti, prate izvođenja uživo sa digitalnim elementima i slušaju umetnike koji dele svoja iskustva sa inovativnim tehnologijama.</w:t>
      </w:r>
    </w:p>
    <w:p w:rsidR="00462B10" w:rsidRPr="00462B10" w:rsidRDefault="00462B10" w:rsidP="00E32C45">
      <w:pPr>
        <w:pStyle w:val="NormalWeb"/>
        <w:ind w:left="5" w:hanging="7"/>
        <w:jc w:val="both"/>
        <w:rPr>
          <w:b/>
          <w:lang w:val="en-US"/>
        </w:rPr>
      </w:pPr>
      <w:proofErr w:type="spellStart"/>
      <w:r>
        <w:rPr>
          <w:b/>
          <w:lang w:val="en-US"/>
        </w:rPr>
        <w:t>Ponuđač</w:t>
      </w:r>
      <w:proofErr w:type="spellEnd"/>
      <w:r>
        <w:rPr>
          <w:b/>
          <w:lang w:val="en-US"/>
        </w:rPr>
        <w:t xml:space="preserve"> je u </w:t>
      </w:r>
      <w:proofErr w:type="spellStart"/>
      <w:r>
        <w:rPr>
          <w:b/>
          <w:lang w:val="en-US"/>
        </w:rPr>
        <w:t>obavezi</w:t>
      </w:r>
      <w:proofErr w:type="spellEnd"/>
      <w:r>
        <w:rPr>
          <w:b/>
          <w:lang w:val="en-US"/>
        </w:rPr>
        <w:t xml:space="preserve"> da </w:t>
      </w:r>
      <w:proofErr w:type="spellStart"/>
      <w:r>
        <w:rPr>
          <w:b/>
          <w:lang w:val="en-US"/>
        </w:rPr>
        <w:t>obezbedi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sledeće</w:t>
      </w:r>
      <w:proofErr w:type="spellEnd"/>
      <w:r>
        <w:rPr>
          <w:b/>
          <w:lang w:val="en-US"/>
        </w:rPr>
        <w:t>:</w:t>
      </w:r>
    </w:p>
    <w:p w:rsidR="00462B10" w:rsidRDefault="00462B10" w:rsidP="00462B10">
      <w:pPr>
        <w:pStyle w:val="Heading3"/>
        <w:ind w:left="1" w:hanging="3"/>
      </w:pPr>
      <w:r>
        <w:t xml:space="preserve">1. </w:t>
      </w:r>
      <w:r>
        <w:rPr>
          <w:rStyle w:val="Strong"/>
          <w:b/>
          <w:bCs/>
        </w:rPr>
        <w:t>Priprema i logistika</w:t>
      </w:r>
    </w:p>
    <w:p w:rsidR="00462B10" w:rsidRDefault="00462B10" w:rsidP="00462B10">
      <w:pPr>
        <w:pStyle w:val="NormalWeb"/>
        <w:numPr>
          <w:ilvl w:val="0"/>
          <w:numId w:val="7"/>
        </w:numPr>
        <w:ind w:left="0" w:hanging="2"/>
      </w:pPr>
      <w:r>
        <w:t>Obavljanje svih administrativnih i tehničkih priprema za festival, uključujući dobijanje potrebnih dozvola i saglasnosti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zauzeće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površina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drugih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dozvola</w:t>
      </w:r>
      <w:proofErr w:type="spellEnd"/>
    </w:p>
    <w:p w:rsidR="00462B10" w:rsidRDefault="00462B10" w:rsidP="00462B10">
      <w:pPr>
        <w:pStyle w:val="NormalWeb"/>
        <w:numPr>
          <w:ilvl w:val="0"/>
          <w:numId w:val="7"/>
        </w:numPr>
        <w:ind w:left="0" w:hanging="2"/>
      </w:pPr>
      <w:r>
        <w:t>Kreiranje detaljnog plana aktivnosti, rasporeda i agende događaja.</w:t>
      </w:r>
    </w:p>
    <w:p w:rsidR="00462B10" w:rsidRDefault="00462B10" w:rsidP="00462B10">
      <w:pPr>
        <w:pStyle w:val="NormalWeb"/>
        <w:numPr>
          <w:ilvl w:val="0"/>
          <w:numId w:val="7"/>
        </w:numPr>
        <w:ind w:left="0" w:hanging="2"/>
      </w:pPr>
      <w:r>
        <w:t>Organizacija prostora u Kreativnom Distriktu, priprema bine, izložbenog prostora i pratećih infrastrukturnih potreba.</w:t>
      </w:r>
    </w:p>
    <w:p w:rsidR="00462B10" w:rsidRDefault="00462B10" w:rsidP="00462B10">
      <w:pPr>
        <w:pStyle w:val="NormalWeb"/>
        <w:numPr>
          <w:ilvl w:val="0"/>
          <w:numId w:val="7"/>
        </w:numPr>
        <w:ind w:left="0" w:hanging="2"/>
      </w:pPr>
      <w:r>
        <w:t>Osiguravanje odgovarajuće rasvete, ozvučenja i tehničke podrške za muzičke nastupe, performanse i prezentacije.</w:t>
      </w:r>
    </w:p>
    <w:p w:rsidR="00462B10" w:rsidRDefault="00462B10" w:rsidP="00462B10">
      <w:pPr>
        <w:pStyle w:val="NormalWeb"/>
        <w:numPr>
          <w:ilvl w:val="0"/>
          <w:numId w:val="7"/>
        </w:numPr>
        <w:ind w:left="0" w:hanging="2"/>
      </w:pPr>
      <w:r>
        <w:t>Postavljanje i demontaža tehničke opreme i scenografije pre i nakon događaja.</w:t>
      </w:r>
    </w:p>
    <w:p w:rsidR="00462B10" w:rsidRDefault="00462B10" w:rsidP="00462B10">
      <w:pPr>
        <w:pStyle w:val="NormalWeb"/>
        <w:numPr>
          <w:ilvl w:val="0"/>
          <w:numId w:val="7"/>
        </w:numPr>
        <w:ind w:left="0" w:hanging="2"/>
      </w:pPr>
      <w:r>
        <w:lastRenderedPageBreak/>
        <w:t>Angažovanje osoblja za tehničku podršku, koordinaciju programa i asistenciju u realizaciji događaja.</w:t>
      </w:r>
    </w:p>
    <w:p w:rsidR="00462B10" w:rsidRDefault="00462B10" w:rsidP="00462B10">
      <w:pPr>
        <w:pStyle w:val="Heading3"/>
        <w:ind w:left="1" w:hanging="3"/>
      </w:pPr>
      <w:r>
        <w:t xml:space="preserve">2. </w:t>
      </w:r>
      <w:r>
        <w:rPr>
          <w:rStyle w:val="Strong"/>
          <w:b/>
          <w:bCs/>
        </w:rPr>
        <w:t>Pokriće troškova i honorara</w:t>
      </w:r>
    </w:p>
    <w:p w:rsidR="00462B10" w:rsidRDefault="00462B10" w:rsidP="00462B10">
      <w:pPr>
        <w:pStyle w:val="NormalWeb"/>
        <w:numPr>
          <w:ilvl w:val="0"/>
          <w:numId w:val="8"/>
        </w:numPr>
        <w:ind w:left="0" w:hanging="2"/>
      </w:pPr>
      <w:r>
        <w:t>Organizacija i pokrivanje troškova dolaska umetnika i stručnih predavača na festival (prevoz, smeštaj, ishrana).</w:t>
      </w:r>
    </w:p>
    <w:p w:rsidR="00462B10" w:rsidRDefault="00462B10" w:rsidP="00462B10">
      <w:pPr>
        <w:pStyle w:val="NormalWeb"/>
        <w:numPr>
          <w:ilvl w:val="0"/>
          <w:numId w:val="8"/>
        </w:numPr>
        <w:ind w:left="0" w:hanging="2"/>
      </w:pPr>
      <w:r>
        <w:t>Isplata honorara umetnicima i izvođačima angažovanim za performanse, radionice i prezentacije.</w:t>
      </w:r>
    </w:p>
    <w:p w:rsidR="00462B10" w:rsidRDefault="00462B10" w:rsidP="00462B10">
      <w:pPr>
        <w:pStyle w:val="NormalWeb"/>
        <w:numPr>
          <w:ilvl w:val="0"/>
          <w:numId w:val="8"/>
        </w:numPr>
        <w:ind w:left="0" w:hanging="2"/>
      </w:pPr>
      <w:r>
        <w:t xml:space="preserve">Obezbeđenje odgovarajućih </w:t>
      </w:r>
      <w:proofErr w:type="spellStart"/>
      <w:r>
        <w:t>edukatora</w:t>
      </w:r>
      <w:proofErr w:type="spellEnd"/>
      <w:r>
        <w:t xml:space="preserve"> za radionice namenjene različitim ciljnim grupama.</w:t>
      </w:r>
    </w:p>
    <w:p w:rsidR="00462B10" w:rsidRDefault="00462B10" w:rsidP="00462B10">
      <w:pPr>
        <w:pStyle w:val="NormalWeb"/>
        <w:numPr>
          <w:ilvl w:val="0"/>
          <w:numId w:val="8"/>
        </w:numPr>
        <w:ind w:left="0" w:hanging="2"/>
      </w:pPr>
      <w:r>
        <w:t>Pokrivanje dodatnih operativnih troškova vezanih za produkciju festivala.</w:t>
      </w:r>
    </w:p>
    <w:p w:rsidR="00462B10" w:rsidRDefault="00462B10" w:rsidP="00462B10">
      <w:pPr>
        <w:pStyle w:val="Heading3"/>
        <w:ind w:left="1" w:hanging="3"/>
      </w:pPr>
      <w:r>
        <w:t xml:space="preserve">3. </w:t>
      </w:r>
      <w:r>
        <w:rPr>
          <w:rStyle w:val="Strong"/>
          <w:b/>
          <w:bCs/>
        </w:rPr>
        <w:t>Produkcija i realizacija programa</w:t>
      </w:r>
    </w:p>
    <w:p w:rsidR="00462B10" w:rsidRDefault="00462B10" w:rsidP="00462B10">
      <w:pPr>
        <w:pStyle w:val="NormalWeb"/>
        <w:numPr>
          <w:ilvl w:val="0"/>
          <w:numId w:val="9"/>
        </w:numPr>
        <w:ind w:left="0" w:hanging="2"/>
      </w:pPr>
      <w:r>
        <w:t xml:space="preserve">Organizacija izložbe radova umetnika koji su boravili u </w:t>
      </w:r>
      <w:proofErr w:type="spellStart"/>
      <w:r>
        <w:t>FabLab</w:t>
      </w:r>
      <w:proofErr w:type="spellEnd"/>
      <w:r>
        <w:t xml:space="preserve"> rezidencijama u periodu maj 2025 – januar 2026. godine.</w:t>
      </w:r>
    </w:p>
    <w:p w:rsidR="00462B10" w:rsidRDefault="00462B10" w:rsidP="00462B10">
      <w:pPr>
        <w:pStyle w:val="NormalWeb"/>
        <w:numPr>
          <w:ilvl w:val="0"/>
          <w:numId w:val="9"/>
        </w:numPr>
        <w:ind w:left="0" w:hanging="2"/>
      </w:pPr>
      <w:r>
        <w:t>Postavljanje, osvetljenje i obezbeđenje izložbenog prostora.</w:t>
      </w:r>
    </w:p>
    <w:p w:rsidR="00462B10" w:rsidRDefault="00462B10" w:rsidP="00462B10">
      <w:pPr>
        <w:pStyle w:val="NormalWeb"/>
        <w:numPr>
          <w:ilvl w:val="0"/>
          <w:numId w:val="9"/>
        </w:numPr>
        <w:ind w:left="0" w:hanging="2"/>
      </w:pPr>
      <w:r>
        <w:t>Organizacija muzičkih nastupa, performansa i umetničkih intervencija u prostoru</w:t>
      </w:r>
      <w:r>
        <w:rPr>
          <w:lang w:val="en-US"/>
        </w:rPr>
        <w:t xml:space="preserve"> (min 2 </w:t>
      </w:r>
      <w:proofErr w:type="spellStart"/>
      <w:r>
        <w:rPr>
          <w:lang w:val="en-US"/>
        </w:rPr>
        <w:t>benda</w:t>
      </w:r>
      <w:proofErr w:type="spellEnd"/>
      <w:r>
        <w:rPr>
          <w:lang w:val="en-US"/>
        </w:rPr>
        <w:t>, 2 dana)</w:t>
      </w:r>
    </w:p>
    <w:p w:rsidR="00462B10" w:rsidRDefault="00462B10" w:rsidP="00462B10">
      <w:pPr>
        <w:pStyle w:val="NormalWeb"/>
        <w:numPr>
          <w:ilvl w:val="0"/>
          <w:numId w:val="9"/>
        </w:numPr>
        <w:ind w:left="0" w:hanging="2"/>
      </w:pPr>
      <w:r>
        <w:t>Organizacija radionica interaktivne digitalne umetnosti i drugih edukativnih sadržaja</w:t>
      </w:r>
      <w:r>
        <w:rPr>
          <w:lang w:val="en-US"/>
        </w:rPr>
        <w:t xml:space="preserve"> 8min 4 </w:t>
      </w:r>
      <w:proofErr w:type="spellStart"/>
      <w:r>
        <w:rPr>
          <w:lang w:val="en-US"/>
        </w:rPr>
        <w:t>radionice</w:t>
      </w:r>
      <w:proofErr w:type="spellEnd"/>
      <w:r>
        <w:rPr>
          <w:lang w:val="en-US"/>
        </w:rPr>
        <w:t>)</w:t>
      </w:r>
      <w:r>
        <w:t>.</w:t>
      </w:r>
    </w:p>
    <w:p w:rsidR="00462B10" w:rsidRDefault="00462B10" w:rsidP="00462B10">
      <w:pPr>
        <w:pStyle w:val="NormalWeb"/>
        <w:numPr>
          <w:ilvl w:val="0"/>
          <w:numId w:val="9"/>
        </w:numPr>
        <w:ind w:left="0" w:hanging="2"/>
      </w:pPr>
      <w:r>
        <w:t xml:space="preserve">Planiranje i sprovođenje svih segmenata događaja uključujući </w:t>
      </w:r>
      <w:proofErr w:type="spellStart"/>
      <w:r>
        <w:t>predprodukciju</w:t>
      </w:r>
      <w:proofErr w:type="spellEnd"/>
      <w:r>
        <w:t xml:space="preserve">, produkciju i </w:t>
      </w:r>
      <w:proofErr w:type="spellStart"/>
      <w:r>
        <w:t>postprodukciju</w:t>
      </w:r>
      <w:proofErr w:type="spellEnd"/>
      <w:r>
        <w:t xml:space="preserve"> festivala.</w:t>
      </w:r>
    </w:p>
    <w:p w:rsidR="00462B10" w:rsidRDefault="00462B10" w:rsidP="00462B10">
      <w:pPr>
        <w:pStyle w:val="NormalWeb"/>
        <w:numPr>
          <w:ilvl w:val="0"/>
          <w:numId w:val="9"/>
        </w:numPr>
        <w:ind w:left="0" w:hanging="2"/>
      </w:pPr>
      <w:r>
        <w:t xml:space="preserve">Angažovanje </w:t>
      </w:r>
      <w:proofErr w:type="spellStart"/>
      <w:r>
        <w:t>moderatora</w:t>
      </w:r>
      <w:proofErr w:type="spellEnd"/>
      <w:r>
        <w:t xml:space="preserve"> i voditelja programa.</w:t>
      </w:r>
    </w:p>
    <w:p w:rsidR="00462B10" w:rsidRDefault="00462B10" w:rsidP="00462B10">
      <w:pPr>
        <w:pStyle w:val="NormalWeb"/>
        <w:numPr>
          <w:ilvl w:val="0"/>
          <w:numId w:val="9"/>
        </w:numPr>
        <w:ind w:left="0" w:hanging="2"/>
      </w:pPr>
      <w:r>
        <w:t>Obezbeđenje prevodilačkih usluga po potrebi.</w:t>
      </w:r>
    </w:p>
    <w:p w:rsidR="00462B10" w:rsidRDefault="00462B10" w:rsidP="00462B10">
      <w:pPr>
        <w:pStyle w:val="NormalWeb"/>
        <w:numPr>
          <w:ilvl w:val="0"/>
          <w:numId w:val="9"/>
        </w:numPr>
        <w:ind w:left="0" w:hanging="2"/>
      </w:pPr>
      <w:r>
        <w:t>Koordinacija sa predstavnicima Grada Novog Sada, Ateljea 61 i partnerima iz Mađarske za ceremoniju otvaranja.</w:t>
      </w:r>
    </w:p>
    <w:p w:rsidR="00462B10" w:rsidRDefault="00462B10" w:rsidP="00462B10">
      <w:pPr>
        <w:pStyle w:val="Heading3"/>
        <w:ind w:left="1" w:hanging="3"/>
      </w:pPr>
      <w:r>
        <w:t xml:space="preserve">5. </w:t>
      </w:r>
      <w:r>
        <w:rPr>
          <w:rStyle w:val="Strong"/>
          <w:b/>
          <w:bCs/>
        </w:rPr>
        <w:t>Bezbednost i logistika</w:t>
      </w:r>
    </w:p>
    <w:p w:rsidR="00462B10" w:rsidRDefault="00462B10" w:rsidP="00462B10">
      <w:pPr>
        <w:pStyle w:val="NormalWeb"/>
        <w:numPr>
          <w:ilvl w:val="0"/>
          <w:numId w:val="11"/>
        </w:numPr>
        <w:ind w:left="0" w:hanging="2"/>
      </w:pPr>
      <w:r>
        <w:t>Obezbeđenje neophodnih sigurnosnih mera tokom trajanja događaja.</w:t>
      </w:r>
    </w:p>
    <w:p w:rsidR="00462B10" w:rsidRDefault="00462B10" w:rsidP="00462B10">
      <w:pPr>
        <w:pStyle w:val="NormalWeb"/>
        <w:numPr>
          <w:ilvl w:val="0"/>
          <w:numId w:val="11"/>
        </w:numPr>
        <w:ind w:left="0" w:hanging="2"/>
      </w:pPr>
      <w:r>
        <w:t>Angažovanje medicinskog osoblja i osiguranje prve pomoći tokom festivala.</w:t>
      </w:r>
    </w:p>
    <w:p w:rsidR="00462B10" w:rsidRPr="00462B10" w:rsidRDefault="00462B10" w:rsidP="00462B10">
      <w:pPr>
        <w:pStyle w:val="NormalWeb"/>
        <w:numPr>
          <w:ilvl w:val="0"/>
          <w:numId w:val="11"/>
        </w:numPr>
        <w:ind w:left="0" w:hanging="2"/>
      </w:pPr>
      <w:r>
        <w:t>Osiguranje prostora i opreme od eventualnih oštećenja.</w:t>
      </w:r>
    </w:p>
    <w:p w:rsidR="00462B10" w:rsidRDefault="00462B10" w:rsidP="00462B10">
      <w:pPr>
        <w:pStyle w:val="NormalWeb"/>
      </w:pPr>
      <w:proofErr w:type="spellStart"/>
      <w:proofErr w:type="gramStart"/>
      <w:r>
        <w:rPr>
          <w:lang w:val="en-US"/>
        </w:rPr>
        <w:t>Ponuđač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obavezuje</w:t>
      </w:r>
      <w:proofErr w:type="spellEnd"/>
      <w:r>
        <w:rPr>
          <w:lang w:val="en-US"/>
        </w:rPr>
        <w:t xml:space="preserve"> da u </w:t>
      </w:r>
      <w:proofErr w:type="spellStart"/>
      <w:r>
        <w:rPr>
          <w:lang w:val="en-US"/>
        </w:rPr>
        <w:t>svojoj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ponudi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predlog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Agende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događaja</w:t>
      </w:r>
      <w:proofErr w:type="spellEnd"/>
      <w:r>
        <w:rPr>
          <w:lang w:val="en-US"/>
        </w:rPr>
        <w:t>.</w:t>
      </w:r>
      <w:proofErr w:type="gramEnd"/>
    </w:p>
    <w:p w:rsidR="00462B10" w:rsidRPr="00462B10" w:rsidRDefault="00462B10" w:rsidP="00E32C45">
      <w:pPr>
        <w:pStyle w:val="NormalWeb"/>
        <w:ind w:left="5" w:hanging="7"/>
        <w:jc w:val="both"/>
        <w:rPr>
          <w:b/>
          <w:lang w:val="en-US"/>
        </w:rPr>
      </w:pPr>
      <w:proofErr w:type="spellStart"/>
      <w:r>
        <w:rPr>
          <w:b/>
          <w:lang w:val="en-US"/>
        </w:rPr>
        <w:t>Takođe</w:t>
      </w:r>
      <w:proofErr w:type="spellEnd"/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ponuđač</w:t>
      </w:r>
      <w:proofErr w:type="spellEnd"/>
      <w:r>
        <w:rPr>
          <w:b/>
          <w:lang w:val="en-US"/>
        </w:rPr>
        <w:t xml:space="preserve"> se </w:t>
      </w:r>
      <w:proofErr w:type="spellStart"/>
      <w:r>
        <w:rPr>
          <w:b/>
          <w:lang w:val="en-US"/>
        </w:rPr>
        <w:t>obavezuje</w:t>
      </w:r>
      <w:proofErr w:type="spellEnd"/>
      <w:r>
        <w:rPr>
          <w:b/>
          <w:lang w:val="en-US"/>
        </w:rPr>
        <w:t xml:space="preserve"> da </w:t>
      </w:r>
      <w:proofErr w:type="spellStart"/>
      <w:r>
        <w:rPr>
          <w:b/>
          <w:lang w:val="en-US"/>
        </w:rPr>
        <w:t>poštuje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sledeća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pravila</w:t>
      </w:r>
      <w:proofErr w:type="spellEnd"/>
      <w:r>
        <w:rPr>
          <w:b/>
          <w:lang w:val="en-US"/>
        </w:rPr>
        <w:t>:</w:t>
      </w:r>
    </w:p>
    <w:p w:rsidR="00E15DAA" w:rsidRDefault="005E0F3A" w:rsidP="002E62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Pravila vidljivosti projekta moraju biti ispoštovana prilikom organizacije događaja, u skladu sa Visual identity manual &amp; Information and publicity guidelines,  Updated version: 04 June 2024</w:t>
      </w:r>
    </w:p>
    <w:p w:rsidR="00462B10" w:rsidRDefault="005E0F3A" w:rsidP="00462B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Pravila vidljivosti programa moraju biti jasno primenjena na ovim  događajima. Program logo i EU logo moraju obavezno biti prikazani i jasno vidljivi na svakom događaju.  Jasno pripremljene informacije i naziv projekta, i prikaz partnera u projektu mora biti prikazan. </w:t>
      </w:r>
    </w:p>
    <w:p w:rsidR="00E15DAA" w:rsidRPr="00462B10" w:rsidRDefault="005E0F3A" w:rsidP="00462B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2B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Ponuđač treba pozove goste na događaj. Lista organizacija i pojedinaca koji će biti pozvani na događaje priprema se u saradnji sa Naručiocem.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E62F0" w:rsidRDefault="002E62F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E62F0" w:rsidRDefault="002E62F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Zahtevani inputi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2B10" w:rsidRPr="00462B10" w:rsidRDefault="005E0F3A" w:rsidP="00462B10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Kvalifikacije za pravno lice kao podnosioca ponude za </w:t>
      </w:r>
      <w:r w:rsidR="00462B10" w:rsidRPr="00462B10">
        <w:rPr>
          <w:rFonts w:ascii="Times New Roman" w:eastAsia="Times New Roman" w:hAnsi="Times New Roman" w:cs="Times New Roman"/>
          <w:b/>
          <w:sz w:val="24"/>
          <w:szCs w:val="24"/>
        </w:rPr>
        <w:t>usluge organizacije zajedničkog festival kulture i izložbe za potrebe projekta Umetničko carstvo bez granica kroz prilike i znanje (Borderless Artistic Realm Through Opportunities and Knowledge –BARTOK)</w:t>
      </w:r>
    </w:p>
    <w:p w:rsidR="00E15DAA" w:rsidRDefault="00E15DAA" w:rsidP="00462B10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Posedovanje prethodnog iskustva u realizacij</w:t>
      </w:r>
      <w:r w:rsidR="00462B10">
        <w:rPr>
          <w:rFonts w:ascii="Times New Roman" w:eastAsia="Times New Roman" w:hAnsi="Times New Roman" w:cs="Times New Roman"/>
          <w:color w:val="000000"/>
          <w:sz w:val="24"/>
          <w:szCs w:val="24"/>
        </w:rPr>
        <w:t>i usluga organizacije događaja i izložbi. Posebno će se vrednovati ponude za organizaciju događaja iz oblasti kulture, i umetničkih izložbi.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Dokaz koji se prilaže uz ponudu:</w:t>
      </w:r>
    </w:p>
    <w:p w:rsidR="00E15DAA" w:rsidRDefault="005E0F3A" w:rsidP="002E62F0">
      <w:pPr>
        <w:numPr>
          <w:ilvl w:val="2"/>
          <w:numId w:val="5"/>
        </w:numPr>
        <w:spacing w:after="0"/>
        <w:ind w:leftChars="0" w:left="36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dokazuju predmetne kvalifikacije.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Period izvršenja usluge: </w:t>
      </w:r>
    </w:p>
    <w:p w:rsidR="00E15DAA" w:rsidRDefault="00462B1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April-maj 2026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DODATNE INFORMACIJE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Neuspešni/uspešni ponuđači će biti informisani o rezultatima evaluacije. U tom slučaju Naručilac će poslati obaveštenje uspešnom ponuđaču i objaviti na web sajtu ime uspešnog ponuđača napominjući da “preostale ponude nisu admisistrativno/tehnički/finansijski usklađene.” 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Poverljivost</w:t>
      </w:r>
    </w:p>
    <w:p w:rsidR="00E15DAA" w:rsidRDefault="005E0F3A" w:rsidP="002E62F0">
      <w:pPr>
        <w:pStyle w:val="Heading3"/>
        <w:spacing w:before="280" w:after="280"/>
        <w:ind w:left="0" w:hanging="2"/>
        <w:jc w:val="both"/>
        <w:rPr>
          <w:b w:val="0"/>
        </w:rPr>
      </w:pPr>
      <w:r>
        <w:rPr>
          <w:b w:val="0"/>
          <w:sz w:val="24"/>
          <w:szCs w:val="24"/>
        </w:rPr>
        <w:t xml:space="preserve">Celokupna procedura evaluacije je poverljiva, i podleže zakonima naručioca koji se odnose na pristup dokumentima. Odluke evaluacione komisije su kolektivne i ona odluke donosi na zatvorenim sastancima. Članovi evaluacione komisije su se obavezali na tajnost. Evaluacioni izveštaji i pisana dokumenta su namenjena samo za službenu upotrebu i ne smeju se prenositi ni ponuđačima ni bilo kome drugome osim naručiocu, Evropskoj Komisiji, Evropskoj službi za suzbijanje prevara (OLAF) i Evropskom revizorskom sudu.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E32C45">
      <w:pPr>
        <w:spacing w:after="0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5DAA">
        <w:tc>
          <w:tcPr>
            <w:tcW w:w="9000" w:type="dxa"/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                              NE POPUNJAVATI PRE POTPISIVANJA UGOVORA </w:t>
            </w:r>
          </w:p>
        </w:tc>
      </w:tr>
      <w:tr w:rsidR="00E15DAA">
        <w:tc>
          <w:tcPr>
            <w:tcW w:w="9000" w:type="dxa"/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NE PODNOSITI U OKVIRU PONUDE!!!</w:t>
            </w:r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FORMAT UGOVORA IZMEĐU IZVRŠIOCA I NARUČIOCA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NAZIV UGOVORA: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naziv ugovora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REF: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referentni broj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Zaključen između: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 xml:space="preserve">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naručioca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(Naručilac)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izvršioca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Matični broj/PIB broj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(Izvršilac)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1: Predmet Ugovora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Ugovora je 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usluga</w:t>
      </w:r>
      <w:r>
        <w:rPr>
          <w:rFonts w:ascii="Times New Roman" w:eastAsia="Times New Roman" w:hAnsi="Times New Roman" w:cs="Times New Roman"/>
          <w:sz w:val="24"/>
          <w:szCs w:val="24"/>
        </w:rPr>
        <w:t>&gt; kao što je i navedeno u ponudi izvršioca – ‘’Deo B: Format ponude koji popunjava ponuđač’’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2: Vrednost Ugovora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Ukupna vrednost Ugovora za pružanje usluga iz Člana 1 je: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XXX EUR/RSD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uključujući/isključujući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PDV.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sve partnere: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 skladu sa IPA implementacionom regulativom, za sve partnere PDV može biti prihvatljiv trošak. Naručilac će platiti jedinične cene, kako je navedeno u finansijskoj ponudi kao i PDV ukoliko je isti prihvatljiv i jasno naveden na računu.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ovaj ugovor PDV je [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prihvatljiv / neprihvatljiv]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trošak.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3: Ugovorna dokumentacija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Dokumenta koja čine deo ovog ugovora su (po prioritetu):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Ugovor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Ponuda izvršioca koja je obezbeđena u tenderskoj fazi – ‘’Deo B: Format ponude koji popunjava ponuđač ’’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Finansijska ponuda izvršioca –“ Deo C: Format finansijske ponude”</w:t>
      </w:r>
    </w:p>
    <w:p w:rsidR="00E15DAA" w:rsidRDefault="005E0F3A" w:rsidP="002E62F0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Sva druga prateća dokumentacija ukoliko je tražena (* - u slučaju zahteva za dostavom izvoda iz APR-a ili drugih informacija) 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 sva pitanja koja nisu definisana ovim Ugovorom biće primenjena pravila predviđena Opštim uslovima (General conditions) </w:t>
      </w:r>
    </w:p>
    <w:tbl>
      <w:tblPr>
        <w:tblStyle w:val="a2"/>
        <w:tblW w:w="9176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6926"/>
      </w:tblGrid>
      <w:tr w:rsidR="00E15DAA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B8d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15DAA" w:rsidRDefault="005E0F3A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Nacrt Ugovora: Opšti uslovi</w:t>
            </w:r>
          </w:p>
        </w:tc>
        <w:tc>
          <w:tcPr>
            <w:tcW w:w="6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15DAA" w:rsidRDefault="005E7D50" w:rsidP="002E62F0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5E0F3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https://wikis.ec.europa.eu/download/attachments/44168995/b8d_annexigc_en.pdf</w:t>
              </w:r>
            </w:hyperlink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7D50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anchor="Annexes-AnnexesB(Ch.3):Servicecontracts">
        <w:r w:rsidR="005E0F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https://wikis.ec.europa.eu/display/ExactExternalWiki/Annexes#Annexes-AnnexesB(Ch.3):Servicecontracts</w:t>
        </w:r>
      </w:hyperlink>
      <w:r w:rsidR="005E0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4: Pružanje usluga i plaćanja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Izvršilac će bezrezervno pružiti usluge kao što je i navedeno u ponudi izvršioca ‘’Deo B: Format ponude koju popunjava ponuđač’’. Pružanje usluga će biti implementirano u okviru navedenih datuma.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Naručilac će platiti izvršiocu usluge u iznosu koji je naveden u Članu 2 ovog Ugovora.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slučaju da je Ugovor zaključen u EUR, a plaćanja u RSD, kurs koji se primenjuje mora biti InforEuro kurs za mesec izdavanja fakture ili profakture u slučaju oslobađanja od PDV-a.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Plaćanja će biti izvršena prema sledećem vremenskom rasporedu.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pPr w:leftFromText="180" w:rightFromText="180" w:vertAnchor="text" w:tblpX="108" w:tblpY="1"/>
        <w:tblW w:w="901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E15DAA">
        <w:trPr>
          <w:cantSplit/>
          <w:trHeight w:val="345"/>
        </w:trPr>
        <w:tc>
          <w:tcPr>
            <w:tcW w:w="1728" w:type="dxa"/>
          </w:tcPr>
          <w:p w:rsidR="00E15DAA" w:rsidRDefault="005E0F3A" w:rsidP="002E62F0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Dan/Mesec</w:t>
            </w:r>
          </w:p>
        </w:tc>
        <w:tc>
          <w:tcPr>
            <w:tcW w:w="4509" w:type="dxa"/>
          </w:tcPr>
          <w:p w:rsidR="00E15DAA" w:rsidRDefault="00E15DAA" w:rsidP="002E62F0">
            <w:pPr>
              <w:keepNext/>
              <w:spacing w:before="40" w:after="40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</w:tcPr>
          <w:p w:rsidR="00E15DAA" w:rsidRDefault="005E0F3A" w:rsidP="002E62F0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&lt;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EUR/RSD</w:t>
            </w:r>
            <w:r>
              <w:rPr>
                <w:rFonts w:ascii="Times New Roman" w:eastAsia="Times New Roman" w:hAnsi="Times New Roman" w:cs="Times New Roman"/>
                <w:b/>
              </w:rPr>
              <w:t>&gt;</w:t>
            </w:r>
          </w:p>
        </w:tc>
      </w:tr>
      <w:tr w:rsidR="00E15DA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E15DAA" w:rsidRDefault="005E0F3A" w:rsidP="00E32C45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Okvirno </w:t>
            </w:r>
            <w:r w:rsidR="00E32C45">
              <w:rPr>
                <w:rFonts w:ascii="Times New Roman" w:eastAsia="Times New Roman" w:hAnsi="Times New Roman" w:cs="Times New Roman"/>
                <w:highlight w:val="yellow"/>
              </w:rPr>
              <w:t xml:space="preserve">april – maj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2026</w:t>
            </w:r>
          </w:p>
        </w:tc>
        <w:tc>
          <w:tcPr>
            <w:tcW w:w="4509" w:type="dxa"/>
            <w:tcBorders>
              <w:bottom w:val="nil"/>
            </w:tcBorders>
          </w:tcPr>
          <w:p w:rsidR="00E15DAA" w:rsidRDefault="005E0F3A" w:rsidP="002E62F0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Konačna isplata</w:t>
            </w:r>
          </w:p>
        </w:tc>
        <w:tc>
          <w:tcPr>
            <w:tcW w:w="2781" w:type="dxa"/>
            <w:tcBorders>
              <w:bottom w:val="nil"/>
            </w:tcBorders>
          </w:tcPr>
          <w:p w:rsidR="00E15DAA" w:rsidRDefault="00E32C45" w:rsidP="002E62F0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11000</w:t>
            </w:r>
          </w:p>
        </w:tc>
      </w:tr>
      <w:tr w:rsidR="00E15DAA">
        <w:trPr>
          <w:cantSplit/>
          <w:trHeight w:val="398"/>
        </w:trPr>
        <w:tc>
          <w:tcPr>
            <w:tcW w:w="1728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E15DAA" w:rsidRDefault="00E15DAA" w:rsidP="002E62F0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9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E15DAA" w:rsidRDefault="005E0F3A" w:rsidP="002E62F0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2781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E15DAA" w:rsidRDefault="00E32C45" w:rsidP="002E62F0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11000</w:t>
            </w:r>
          </w:p>
        </w:tc>
      </w:tr>
    </w:tbl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Izvršilac će dostaviti naručiocu kratak izveštaj o izvršenim uslugama, što će predstavljati osnovu za odobrenje privremenih i konačnih isplata.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5: Trajanje Ugovora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Trajanje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 dana/meseci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&gt;. 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Datum početka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dd/mm/gggg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Član 6: Rešavanje sporova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DAA" w:rsidRDefault="005E0F3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Bilo kakvi sporovi koji proizilaze ili su vezani za ovaj Ugovor koji se ne mogu drugačije rešiti će biti upućeni na isključivu nadležnost (*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- navesti nadležni sud ili arbitarno telo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u saglasnosti sa nacionalnim zakonodavstvom države naručioca. </w:t>
      </w:r>
    </w:p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090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E15DAA">
        <w:tc>
          <w:tcPr>
            <w:tcW w:w="4750" w:type="dxa"/>
            <w:gridSpan w:val="2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Za izvršioca</w:t>
            </w:r>
          </w:p>
        </w:tc>
        <w:tc>
          <w:tcPr>
            <w:tcW w:w="4340" w:type="dxa"/>
            <w:gridSpan w:val="2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naručioca</w:t>
            </w:r>
          </w:p>
        </w:tc>
      </w:tr>
      <w:tr w:rsidR="00E15DAA">
        <w:trPr>
          <w:cantSplit/>
        </w:trPr>
        <w:tc>
          <w:tcPr>
            <w:tcW w:w="149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325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201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DAA">
        <w:trPr>
          <w:cantSplit/>
        </w:trPr>
        <w:tc>
          <w:tcPr>
            <w:tcW w:w="149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325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232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201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DAA">
        <w:trPr>
          <w:cantSplit/>
        </w:trPr>
        <w:tc>
          <w:tcPr>
            <w:tcW w:w="149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325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201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DAA">
        <w:trPr>
          <w:cantSplit/>
        </w:trPr>
        <w:tc>
          <w:tcPr>
            <w:tcW w:w="149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325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E15DAA" w:rsidRDefault="005E0F3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2019" w:type="dxa"/>
          </w:tcPr>
          <w:p w:rsidR="00E15DAA" w:rsidRDefault="00E15DAA" w:rsidP="002E62F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5DAA" w:rsidRDefault="00E15DAA" w:rsidP="002E62F0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E15DAA" w:rsidRDefault="00E15DAA" w:rsidP="00E15DAA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sectPr w:rsidR="00E15D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50" w:rsidRDefault="005E7D50" w:rsidP="002E62F0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5E7D50" w:rsidRDefault="005E7D50" w:rsidP="002E62F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50" w:rsidRDefault="005E7D50" w:rsidP="002E62F0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5E7D50" w:rsidRDefault="005E7D50" w:rsidP="002E62F0">
      <w:pPr>
        <w:spacing w:after="0" w:line="240" w:lineRule="auto"/>
        <w:ind w:left="0" w:hanging="2"/>
      </w:pPr>
      <w:r>
        <w:continuationSeparator/>
      </w:r>
    </w:p>
  </w:footnote>
  <w:footnote w:id="1">
    <w:p w:rsidR="00E15DAA" w:rsidRDefault="005E0F3A" w:rsidP="002E62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Gde je primenljivo. Za fizička lica, navesti broj lične karte, pasoša ili broj sličnog 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AA" w:rsidRDefault="00E15DAA" w:rsidP="002E62F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1AF"/>
    <w:multiLevelType w:val="multilevel"/>
    <w:tmpl w:val="7C8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92023"/>
    <w:multiLevelType w:val="multilevel"/>
    <w:tmpl w:val="0ABC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47EE4"/>
    <w:multiLevelType w:val="multilevel"/>
    <w:tmpl w:val="748A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AB2721"/>
    <w:multiLevelType w:val="multilevel"/>
    <w:tmpl w:val="A2426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EC7203"/>
    <w:multiLevelType w:val="multilevel"/>
    <w:tmpl w:val="4BE859F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1C146476"/>
    <w:multiLevelType w:val="multilevel"/>
    <w:tmpl w:val="A336F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0938F5"/>
    <w:multiLevelType w:val="multilevel"/>
    <w:tmpl w:val="8058203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2E901574"/>
    <w:multiLevelType w:val="multilevel"/>
    <w:tmpl w:val="561CD0E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8">
    <w:nsid w:val="31BB7DCC"/>
    <w:multiLevelType w:val="multilevel"/>
    <w:tmpl w:val="98240B7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40F24C46"/>
    <w:multiLevelType w:val="multilevel"/>
    <w:tmpl w:val="D3561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419F2455"/>
    <w:multiLevelType w:val="multilevel"/>
    <w:tmpl w:val="081A1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0051E4"/>
    <w:multiLevelType w:val="multilevel"/>
    <w:tmpl w:val="C68E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4A09BA"/>
    <w:multiLevelType w:val="multilevel"/>
    <w:tmpl w:val="C844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D96617"/>
    <w:multiLevelType w:val="multilevel"/>
    <w:tmpl w:val="9C64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840E6E"/>
    <w:multiLevelType w:val="multilevel"/>
    <w:tmpl w:val="99D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F80FAF"/>
    <w:multiLevelType w:val="multilevel"/>
    <w:tmpl w:val="B42A3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C6595F"/>
    <w:multiLevelType w:val="multilevel"/>
    <w:tmpl w:val="9D7AB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777D65"/>
    <w:multiLevelType w:val="multilevel"/>
    <w:tmpl w:val="B2AAA4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>
    <w:nsid w:val="7779235C"/>
    <w:multiLevelType w:val="multilevel"/>
    <w:tmpl w:val="70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634882"/>
    <w:multiLevelType w:val="multilevel"/>
    <w:tmpl w:val="D16C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1141F2"/>
    <w:multiLevelType w:val="multilevel"/>
    <w:tmpl w:val="44AC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7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2"/>
  </w:num>
  <w:num w:numId="10">
    <w:abstractNumId w:val="10"/>
  </w:num>
  <w:num w:numId="11">
    <w:abstractNumId w:val="16"/>
  </w:num>
  <w:num w:numId="12">
    <w:abstractNumId w:val="1"/>
  </w:num>
  <w:num w:numId="13">
    <w:abstractNumId w:val="11"/>
  </w:num>
  <w:num w:numId="14">
    <w:abstractNumId w:val="13"/>
  </w:num>
  <w:num w:numId="15">
    <w:abstractNumId w:val="20"/>
  </w:num>
  <w:num w:numId="16">
    <w:abstractNumId w:val="3"/>
  </w:num>
  <w:num w:numId="17">
    <w:abstractNumId w:val="14"/>
  </w:num>
  <w:num w:numId="18">
    <w:abstractNumId w:val="18"/>
  </w:num>
  <w:num w:numId="19">
    <w:abstractNumId w:val="15"/>
  </w:num>
  <w:num w:numId="20">
    <w:abstractNumId w:val="1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5DAA"/>
    <w:rsid w:val="000831E2"/>
    <w:rsid w:val="001F60AD"/>
    <w:rsid w:val="002E62F0"/>
    <w:rsid w:val="00462B10"/>
    <w:rsid w:val="005E0F3A"/>
    <w:rsid w:val="005E7D50"/>
    <w:rsid w:val="00664918"/>
    <w:rsid w:val="00A11615"/>
    <w:rsid w:val="00A67CE9"/>
    <w:rsid w:val="00CD724D"/>
    <w:rsid w:val="00DA3FBC"/>
    <w:rsid w:val="00E15DAA"/>
    <w:rsid w:val="00E32C45"/>
    <w:rsid w:val="00E5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E32C4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sr-Cyrl-RS" w:eastAsia="sr-Cyrl-RS"/>
    </w:rPr>
  </w:style>
  <w:style w:type="character" w:styleId="Strong">
    <w:name w:val="Strong"/>
    <w:basedOn w:val="DefaultParagraphFont"/>
    <w:uiPriority w:val="22"/>
    <w:qFormat/>
    <w:rsid w:val="00462B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E32C4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sr-Cyrl-RS" w:eastAsia="sr-Cyrl-RS"/>
    </w:rPr>
  </w:style>
  <w:style w:type="character" w:styleId="Strong">
    <w:name w:val="Strong"/>
    <w:basedOn w:val="DefaultParagraphFont"/>
    <w:uiPriority w:val="22"/>
    <w:qFormat/>
    <w:rsid w:val="00462B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ownload/attachments/44168995/b8d_annexigc_en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kis.ec.europa.eu/display/ExactExternalWiki/Annex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2158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2025-03-12T12:01:00Z</dcterms:created>
  <dcterms:modified xsi:type="dcterms:W3CDTF">2025-03-12T12:01:00Z</dcterms:modified>
</cp:coreProperties>
</file>